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43C" w:rsidRDefault="001D7E25" w:rsidP="001D7E25">
      <w:pPr>
        <w:jc w:val="center"/>
      </w:pPr>
      <w:r>
        <w:rPr>
          <w:noProof/>
          <w:lang w:eastAsia="zh-CN"/>
        </w:rPr>
        <w:drawing>
          <wp:inline distT="0" distB="0" distL="0" distR="0" wp14:anchorId="76F0D698" wp14:editId="1E8916C4">
            <wp:extent cx="1838325" cy="542925"/>
            <wp:effectExtent l="0" t="0" r="9525" b="9525"/>
            <wp:docPr id="2" name="Picture 2" descr="emwprep-logo"/>
            <wp:cNvGraphicFramePr/>
            <a:graphic xmlns:a="http://schemas.openxmlformats.org/drawingml/2006/main">
              <a:graphicData uri="http://schemas.openxmlformats.org/drawingml/2006/picture">
                <pic:pic xmlns:pic="http://schemas.openxmlformats.org/drawingml/2006/picture">
                  <pic:nvPicPr>
                    <pic:cNvPr id="2" name="Picture 2" descr="emwprep-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542925"/>
                    </a:xfrm>
                    <a:prstGeom prst="rect">
                      <a:avLst/>
                    </a:prstGeom>
                    <a:noFill/>
                    <a:ln>
                      <a:noFill/>
                    </a:ln>
                  </pic:spPr>
                </pic:pic>
              </a:graphicData>
            </a:graphic>
          </wp:inline>
        </w:drawing>
      </w:r>
    </w:p>
    <w:p w:rsidR="00B716FE" w:rsidRDefault="001D7E25" w:rsidP="001D7E25">
      <w:pPr>
        <w:pStyle w:val="Heading2"/>
        <w:jc w:val="center"/>
        <w:rPr>
          <w:sz w:val="28"/>
          <w:szCs w:val="28"/>
        </w:rPr>
      </w:pPr>
      <w:r w:rsidRPr="001D7E25">
        <w:rPr>
          <w:sz w:val="28"/>
          <w:szCs w:val="28"/>
        </w:rPr>
        <w:t>GDPR and the implications for EMWPREP</w:t>
      </w:r>
    </w:p>
    <w:p w:rsidR="001D7E25" w:rsidRPr="001D7E25" w:rsidRDefault="00DC04F1" w:rsidP="001D7E25">
      <w:pPr>
        <w:pStyle w:val="Heading2"/>
        <w:jc w:val="center"/>
        <w:rPr>
          <w:sz w:val="28"/>
          <w:szCs w:val="28"/>
        </w:rPr>
      </w:pPr>
      <w:r>
        <w:rPr>
          <w:sz w:val="28"/>
          <w:szCs w:val="28"/>
        </w:rPr>
        <w:t>Update 2</w:t>
      </w:r>
    </w:p>
    <w:p w:rsidR="00B716FE" w:rsidRDefault="00B716FE" w:rsidP="00B716FE">
      <w:pPr>
        <w:pStyle w:val="NoSpacing"/>
      </w:pPr>
    </w:p>
    <w:p w:rsidR="00B716FE" w:rsidRDefault="00B716FE" w:rsidP="00B716FE">
      <w:pPr>
        <w:pStyle w:val="NoSpacing"/>
      </w:pPr>
      <w:r>
        <w:t xml:space="preserve">This document is designed to update partners on progress made against GDPR related EMWPREP actions as identified in the original </w:t>
      </w:r>
      <w:r w:rsidRPr="00B716FE">
        <w:t>GDPR and the implications for EMWPREP</w:t>
      </w:r>
      <w:r>
        <w:t xml:space="preserve"> paper circulated at the July Steering Group Meeting.</w:t>
      </w:r>
    </w:p>
    <w:p w:rsidR="00B716FE" w:rsidRDefault="00B716FE" w:rsidP="00B716FE">
      <w:pPr>
        <w:pStyle w:val="NoSpacing"/>
      </w:pPr>
    </w:p>
    <w:p w:rsidR="001D7E25" w:rsidRDefault="00B716FE" w:rsidP="00DC04F1">
      <w:pPr>
        <w:rPr>
          <w:b/>
          <w:bCs/>
          <w:color w:val="4F81BD" w:themeColor="accent1"/>
          <w:sz w:val="24"/>
          <w:szCs w:val="24"/>
        </w:rPr>
      </w:pPr>
      <w:r>
        <w:rPr>
          <w:b/>
          <w:bCs/>
          <w:color w:val="4F81BD" w:themeColor="accent1"/>
          <w:sz w:val="24"/>
          <w:szCs w:val="24"/>
        </w:rPr>
        <w:t>Progress against a</w:t>
      </w:r>
      <w:r w:rsidR="00F341B6" w:rsidRPr="00F341B6">
        <w:rPr>
          <w:b/>
          <w:bCs/>
          <w:color w:val="4F81BD" w:themeColor="accent1"/>
          <w:sz w:val="24"/>
          <w:szCs w:val="24"/>
        </w:rPr>
        <w:t>ctions for EMWPREP</w:t>
      </w:r>
      <w:r w:rsidR="00DC04F1">
        <w:rPr>
          <w:b/>
          <w:bCs/>
          <w:color w:val="4F81BD" w:themeColor="accent1"/>
          <w:sz w:val="24"/>
          <w:szCs w:val="24"/>
        </w:rPr>
        <w:t xml:space="preserve"> (updates in blue)</w:t>
      </w:r>
    </w:p>
    <w:tbl>
      <w:tblPr>
        <w:tblStyle w:val="TableGrid"/>
        <w:tblW w:w="0" w:type="auto"/>
        <w:tblLook w:val="04A0" w:firstRow="1" w:lastRow="0" w:firstColumn="1" w:lastColumn="0" w:noHBand="0" w:noVBand="1"/>
      </w:tblPr>
      <w:tblGrid>
        <w:gridCol w:w="4621"/>
        <w:gridCol w:w="4621"/>
      </w:tblGrid>
      <w:tr w:rsidR="00B716FE" w:rsidRPr="00CA47FD" w:rsidTr="00B716FE">
        <w:tc>
          <w:tcPr>
            <w:tcW w:w="4621" w:type="dxa"/>
            <w:shd w:val="clear" w:color="auto" w:fill="C6D9F1" w:themeFill="text2" w:themeFillTint="33"/>
          </w:tcPr>
          <w:p w:rsidR="00B716FE" w:rsidRPr="00CA47FD" w:rsidRDefault="00B716FE" w:rsidP="00B716FE">
            <w:pPr>
              <w:rPr>
                <w:b/>
                <w:bCs/>
                <w:color w:val="4F81BD" w:themeColor="accent1"/>
              </w:rPr>
            </w:pPr>
            <w:r w:rsidRPr="00CA47FD">
              <w:rPr>
                <w:b/>
                <w:bCs/>
                <w:color w:val="4F81BD" w:themeColor="accent1"/>
              </w:rPr>
              <w:t>Action</w:t>
            </w:r>
          </w:p>
        </w:tc>
        <w:tc>
          <w:tcPr>
            <w:tcW w:w="4621" w:type="dxa"/>
            <w:shd w:val="clear" w:color="auto" w:fill="C6D9F1" w:themeFill="text2" w:themeFillTint="33"/>
          </w:tcPr>
          <w:p w:rsidR="00B716FE" w:rsidRPr="00CA47FD" w:rsidRDefault="00B716FE" w:rsidP="00B716FE">
            <w:pPr>
              <w:rPr>
                <w:b/>
                <w:bCs/>
                <w:color w:val="4F81BD" w:themeColor="accent1"/>
              </w:rPr>
            </w:pPr>
            <w:r w:rsidRPr="00CA47FD">
              <w:rPr>
                <w:b/>
                <w:bCs/>
                <w:color w:val="4F81BD" w:themeColor="accent1"/>
              </w:rPr>
              <w:t>Progress</w:t>
            </w:r>
          </w:p>
        </w:tc>
      </w:tr>
      <w:tr w:rsidR="00B716FE" w:rsidRPr="00CA47FD" w:rsidTr="00B716FE">
        <w:tc>
          <w:tcPr>
            <w:tcW w:w="4621" w:type="dxa"/>
          </w:tcPr>
          <w:p w:rsidR="00B716FE" w:rsidRPr="00CA47FD" w:rsidRDefault="00B716FE" w:rsidP="00B716FE">
            <w:pPr>
              <w:pStyle w:val="NoSpacing"/>
            </w:pPr>
            <w:r w:rsidRPr="00CA47FD">
              <w:t>Undertake a full review of our existing data protector agreement, privacy policy, data protection statements, websites and consent statements in consultation with the host University DPO, host University internal GDPR working group and with reference to guidance from the ICO.</w:t>
            </w:r>
          </w:p>
        </w:tc>
        <w:tc>
          <w:tcPr>
            <w:tcW w:w="4621" w:type="dxa"/>
          </w:tcPr>
          <w:p w:rsidR="00B716FE" w:rsidRPr="00CA47FD" w:rsidRDefault="00B716FE" w:rsidP="00B716FE">
            <w:r w:rsidRPr="00CA47FD">
              <w:t xml:space="preserve">Internal EMWPREP review of </w:t>
            </w:r>
            <w:r w:rsidR="00CA47FD" w:rsidRPr="00CA47FD">
              <w:t>existing</w:t>
            </w:r>
            <w:r w:rsidRPr="00CA47FD">
              <w:t xml:space="preserve"> policies has taken place:</w:t>
            </w:r>
          </w:p>
          <w:p w:rsidR="00B716FE" w:rsidRPr="00CA47FD" w:rsidRDefault="00B716FE" w:rsidP="00B716FE">
            <w:pPr>
              <w:pStyle w:val="ListParagraph"/>
              <w:numPr>
                <w:ilvl w:val="0"/>
                <w:numId w:val="14"/>
              </w:numPr>
            </w:pPr>
            <w:r w:rsidRPr="00CA47FD">
              <w:t xml:space="preserve">Data Processor Agreement in </w:t>
            </w:r>
            <w:r w:rsidR="00CA47FD" w:rsidRPr="00CA47FD">
              <w:t>its</w:t>
            </w:r>
            <w:r w:rsidRPr="00CA47FD">
              <w:t xml:space="preserve"> current format needs updating to suit the expanded partnership; changing </w:t>
            </w:r>
            <w:r w:rsidR="00CA47FD" w:rsidRPr="00CA47FD">
              <w:t>database</w:t>
            </w:r>
            <w:r w:rsidRPr="00CA47FD">
              <w:t xml:space="preserve"> and data collection pro</w:t>
            </w:r>
            <w:r w:rsidR="00CA47FD" w:rsidRPr="00CA47FD">
              <w:t>cedures</w:t>
            </w:r>
            <w:r w:rsidR="00CA47FD">
              <w:t>.</w:t>
            </w:r>
          </w:p>
          <w:p w:rsidR="00CA47FD" w:rsidRPr="00CA47FD" w:rsidRDefault="00CA47FD" w:rsidP="00B716FE">
            <w:pPr>
              <w:pStyle w:val="ListParagraph"/>
              <w:numPr>
                <w:ilvl w:val="0"/>
                <w:numId w:val="14"/>
              </w:numPr>
              <w:rPr>
                <w:b/>
                <w:bCs/>
                <w:color w:val="4F81BD" w:themeColor="accent1"/>
              </w:rPr>
            </w:pPr>
            <w:r w:rsidRPr="00CA47FD">
              <w:t>EMWPREP currently has no other policy documents which guide partners on DPA matters related to the database and as such these will need to be written to comply with GDPR</w:t>
            </w:r>
            <w:r>
              <w:t>.</w:t>
            </w:r>
          </w:p>
        </w:tc>
      </w:tr>
      <w:tr w:rsidR="00B716FE" w:rsidRPr="00CA47FD" w:rsidTr="00B716FE">
        <w:tc>
          <w:tcPr>
            <w:tcW w:w="4621" w:type="dxa"/>
          </w:tcPr>
          <w:p w:rsidR="00B716FE" w:rsidRPr="00CA47FD" w:rsidRDefault="00B716FE" w:rsidP="00CA47FD">
            <w:r w:rsidRPr="00CA47FD">
              <w:t xml:space="preserve">The existing Data Processor Agreement will become a Data Compliance </w:t>
            </w:r>
            <w:r w:rsidR="00CA47FD">
              <w:t>A</w:t>
            </w:r>
            <w:r w:rsidRPr="00CA47FD">
              <w:t>greement and house various new policy documents which all partners will be required to adhere to in order to use the database and EMWPREP services.</w:t>
            </w:r>
          </w:p>
        </w:tc>
        <w:tc>
          <w:tcPr>
            <w:tcW w:w="4621" w:type="dxa"/>
          </w:tcPr>
          <w:p w:rsidR="00B716FE" w:rsidRPr="008D1EB2" w:rsidRDefault="00CA47FD" w:rsidP="00B716FE">
            <w:r w:rsidRPr="008D1EB2">
              <w:t xml:space="preserve">EMWPREP have drafted the following new </w:t>
            </w:r>
            <w:r w:rsidR="008D1EB2" w:rsidRPr="008D1EB2">
              <w:t>documents</w:t>
            </w:r>
            <w:r w:rsidRPr="008D1EB2">
              <w:t>:</w:t>
            </w:r>
          </w:p>
          <w:p w:rsidR="00CA47FD" w:rsidRPr="008D1EB2" w:rsidRDefault="00CA47FD" w:rsidP="00AE306A">
            <w:pPr>
              <w:pStyle w:val="ListParagraph"/>
              <w:numPr>
                <w:ilvl w:val="0"/>
                <w:numId w:val="14"/>
              </w:numPr>
            </w:pPr>
            <w:r w:rsidRPr="008D1EB2">
              <w:t>Data Re</w:t>
            </w:r>
            <w:r w:rsidR="00AE306A">
              <w:t>tention</w:t>
            </w:r>
            <w:r w:rsidRPr="008D1EB2">
              <w:t xml:space="preserve"> and Deletion </w:t>
            </w:r>
            <w:r w:rsidR="00AE306A" w:rsidRPr="008D1EB2">
              <w:t>Policy</w:t>
            </w:r>
          </w:p>
          <w:p w:rsidR="00CA47FD" w:rsidRPr="008D1EB2" w:rsidRDefault="00CA47FD" w:rsidP="00CA47FD">
            <w:pPr>
              <w:pStyle w:val="ListParagraph"/>
              <w:numPr>
                <w:ilvl w:val="0"/>
                <w:numId w:val="14"/>
              </w:numPr>
            </w:pPr>
            <w:r w:rsidRPr="008D1EB2">
              <w:t>How we use your data Policy</w:t>
            </w:r>
          </w:p>
          <w:p w:rsidR="00CA47FD" w:rsidRPr="008D1EB2" w:rsidRDefault="008D1EB2" w:rsidP="00CA47FD">
            <w:pPr>
              <w:pStyle w:val="ListParagraph"/>
              <w:numPr>
                <w:ilvl w:val="0"/>
                <w:numId w:val="14"/>
              </w:numPr>
            </w:pPr>
            <w:r w:rsidRPr="008D1EB2">
              <w:t>Data Sharing Policy</w:t>
            </w:r>
          </w:p>
          <w:p w:rsidR="008D1EB2" w:rsidRDefault="008D1EB2" w:rsidP="008D1EB2">
            <w:r w:rsidRPr="008D1EB2">
              <w:t xml:space="preserve">These documents are currently being reviewed by the </w:t>
            </w:r>
            <w:r w:rsidR="00AE306A">
              <w:t>DPO at Loughborough University</w:t>
            </w:r>
            <w:r w:rsidRPr="008D1EB2">
              <w:t xml:space="preserve">, and will be </w:t>
            </w:r>
            <w:r w:rsidR="00AE306A" w:rsidRPr="008D1EB2">
              <w:t>forwarded</w:t>
            </w:r>
            <w:r w:rsidRPr="008D1EB2">
              <w:t xml:space="preserve"> to all partners for </w:t>
            </w:r>
            <w:r w:rsidR="00AE306A" w:rsidRPr="008D1EB2">
              <w:t>comment</w:t>
            </w:r>
            <w:r w:rsidRPr="008D1EB2">
              <w:t xml:space="preserve"> once initial approval has been granted.</w:t>
            </w:r>
          </w:p>
          <w:p w:rsidR="00DC04F1" w:rsidRPr="00DC04F1" w:rsidRDefault="00DC04F1" w:rsidP="00DC04F1">
            <w:pPr>
              <w:rPr>
                <w:color w:val="4F81BD" w:themeColor="accent1"/>
              </w:rPr>
            </w:pPr>
            <w:r>
              <w:rPr>
                <w:color w:val="4F81BD" w:themeColor="accent1"/>
              </w:rPr>
              <w:t>Feedback from the DPO</w:t>
            </w:r>
            <w:r w:rsidRPr="00DC04F1">
              <w:rPr>
                <w:color w:val="4F81BD" w:themeColor="accent1"/>
              </w:rPr>
              <w:t xml:space="preserve"> at Loughborough has been received and amendments have been made. </w:t>
            </w:r>
            <w:r w:rsidR="00DB4EDA">
              <w:rPr>
                <w:color w:val="4F81BD" w:themeColor="accent1"/>
              </w:rPr>
              <w:t>Final a</w:t>
            </w:r>
            <w:r w:rsidR="00DB4EDA" w:rsidRPr="00DC04F1">
              <w:rPr>
                <w:color w:val="4F81BD" w:themeColor="accent1"/>
              </w:rPr>
              <w:t xml:space="preserve">pproval </w:t>
            </w:r>
            <w:r w:rsidR="00DB4EDA">
              <w:rPr>
                <w:color w:val="4F81BD" w:themeColor="accent1"/>
              </w:rPr>
              <w:t xml:space="preserve">from the Loughborough </w:t>
            </w:r>
            <w:proofErr w:type="spellStart"/>
            <w:r w:rsidR="00DB4EDA">
              <w:rPr>
                <w:color w:val="4F81BD" w:themeColor="accent1"/>
              </w:rPr>
              <w:t>DPO</w:t>
            </w:r>
            <w:proofErr w:type="spellEnd"/>
            <w:r w:rsidR="00DB4EDA">
              <w:rPr>
                <w:color w:val="4F81BD" w:themeColor="accent1"/>
              </w:rPr>
              <w:t xml:space="preserve"> </w:t>
            </w:r>
            <w:r w:rsidR="00DB4EDA" w:rsidRPr="00DC04F1">
              <w:rPr>
                <w:color w:val="4F81BD" w:themeColor="accent1"/>
              </w:rPr>
              <w:t>is now pending.</w:t>
            </w:r>
          </w:p>
          <w:p w:rsidR="008D1EB2" w:rsidRPr="008D1EB2" w:rsidRDefault="008D1EB2" w:rsidP="008D1EB2">
            <w:r w:rsidRPr="008D1EB2">
              <w:t xml:space="preserve">EMWPREP has commenced work the following new </w:t>
            </w:r>
            <w:r w:rsidR="00AE306A" w:rsidRPr="008D1EB2">
              <w:t>documents</w:t>
            </w:r>
            <w:r w:rsidRPr="008D1EB2">
              <w:t>:</w:t>
            </w:r>
          </w:p>
          <w:p w:rsidR="008D1EB2" w:rsidRPr="008D1EB2" w:rsidRDefault="00AE306A" w:rsidP="008D1EB2">
            <w:pPr>
              <w:pStyle w:val="ListParagraph"/>
              <w:numPr>
                <w:ilvl w:val="0"/>
                <w:numId w:val="14"/>
              </w:numPr>
            </w:pPr>
            <w:r w:rsidRPr="008D1EB2">
              <w:t>Data</w:t>
            </w:r>
            <w:r w:rsidR="008D1EB2" w:rsidRPr="008D1EB2">
              <w:t xml:space="preserve"> </w:t>
            </w:r>
            <w:r w:rsidRPr="008D1EB2">
              <w:t>Compliance</w:t>
            </w:r>
            <w:r w:rsidR="008D1EB2" w:rsidRPr="008D1EB2">
              <w:t xml:space="preserve"> Agreement</w:t>
            </w:r>
          </w:p>
          <w:p w:rsidR="008D1EB2" w:rsidRPr="008D1EB2" w:rsidRDefault="008D1EB2" w:rsidP="008D1EB2">
            <w:pPr>
              <w:pStyle w:val="ListParagraph"/>
              <w:numPr>
                <w:ilvl w:val="0"/>
                <w:numId w:val="14"/>
              </w:numPr>
            </w:pPr>
            <w:r w:rsidRPr="008D1EB2">
              <w:t>Privacy Notice</w:t>
            </w:r>
          </w:p>
          <w:p w:rsidR="008D1EB2" w:rsidRPr="008D1EB2" w:rsidRDefault="008D1EB2" w:rsidP="008D1EB2">
            <w:pPr>
              <w:pStyle w:val="ListParagraph"/>
              <w:numPr>
                <w:ilvl w:val="0"/>
                <w:numId w:val="14"/>
              </w:numPr>
            </w:pPr>
            <w:r w:rsidRPr="008D1EB2">
              <w:lastRenderedPageBreak/>
              <w:t>Audit Policy</w:t>
            </w:r>
          </w:p>
        </w:tc>
      </w:tr>
      <w:tr w:rsidR="00B716FE" w:rsidRPr="00CA47FD" w:rsidTr="00B716FE">
        <w:tc>
          <w:tcPr>
            <w:tcW w:w="4621" w:type="dxa"/>
          </w:tcPr>
          <w:p w:rsidR="00B716FE" w:rsidRPr="00CA47FD" w:rsidRDefault="00B716FE" w:rsidP="00B716FE">
            <w:pPr>
              <w:rPr>
                <w:b/>
                <w:bCs/>
                <w:color w:val="4F81BD" w:themeColor="accent1"/>
              </w:rPr>
            </w:pPr>
            <w:r w:rsidRPr="00CA47FD">
              <w:lastRenderedPageBreak/>
              <w:t>Current systems of gathering and recording consent (for new and existing data subjects) will be reviewed, rewritten and documented once relevant internal approvals have been sought.</w:t>
            </w:r>
          </w:p>
        </w:tc>
        <w:tc>
          <w:tcPr>
            <w:tcW w:w="4621" w:type="dxa"/>
          </w:tcPr>
          <w:p w:rsidR="00AE306A" w:rsidRDefault="006907D2" w:rsidP="00AE306A">
            <w:pPr>
              <w:pStyle w:val="NoSpacing"/>
            </w:pPr>
            <w:r>
              <w:t>EMWPREP have consulted with Loughborough’s DPO as well as representatives from EMWPREP partner institutions to re-design new data collection forms based on the current assumption we will be able to process tracking and contextual data collected about participants on the public interests legal basis.</w:t>
            </w:r>
          </w:p>
          <w:p w:rsidR="00AE306A" w:rsidRDefault="00AE306A" w:rsidP="00AE306A">
            <w:pPr>
              <w:pStyle w:val="NoSpacing"/>
            </w:pPr>
          </w:p>
          <w:p w:rsidR="00AE306A" w:rsidRDefault="00AE306A" w:rsidP="00AE306A">
            <w:pPr>
              <w:pStyle w:val="NoSpacing"/>
            </w:pPr>
            <w:r>
              <w:t xml:space="preserve">The forms have been approved by </w:t>
            </w:r>
            <w:r w:rsidR="006907D2">
              <w:t>Loughborough's</w:t>
            </w:r>
            <w:r>
              <w:t xml:space="preserve"> DPO, and have been sent to DfE and HESA to check they are still happy </w:t>
            </w:r>
            <w:r w:rsidR="006907D2">
              <w:t>with</w:t>
            </w:r>
            <w:r>
              <w:t xml:space="preserve"> the content and </w:t>
            </w:r>
            <w:r w:rsidR="006907D2">
              <w:t>explanation</w:t>
            </w:r>
            <w:r>
              <w:t xml:space="preserve"> to those </w:t>
            </w:r>
            <w:r w:rsidR="006907D2">
              <w:t>completing</w:t>
            </w:r>
            <w:r>
              <w:t xml:space="preserve"> forms of what their data will be used.</w:t>
            </w:r>
          </w:p>
          <w:p w:rsidR="00AE306A" w:rsidRDefault="00AE306A" w:rsidP="00AE306A">
            <w:pPr>
              <w:pStyle w:val="NoSpacing"/>
            </w:pPr>
          </w:p>
          <w:p w:rsidR="00AE306A" w:rsidRDefault="00AE306A" w:rsidP="00AE306A">
            <w:pPr>
              <w:pStyle w:val="NoSpacing"/>
            </w:pPr>
            <w:r>
              <w:t xml:space="preserve">The ICO will be announcing in </w:t>
            </w:r>
            <w:r w:rsidR="006907D2">
              <w:t>December</w:t>
            </w:r>
            <w:r>
              <w:t xml:space="preserve"> if universities can be viewed as public </w:t>
            </w:r>
            <w:r w:rsidR="006907D2">
              <w:t>authorities</w:t>
            </w:r>
            <w:r>
              <w:t xml:space="preserve"> and as such re able to process data under this new legal basis. </w:t>
            </w:r>
          </w:p>
          <w:p w:rsidR="00DC04F1" w:rsidRDefault="00DC04F1" w:rsidP="00AE306A">
            <w:pPr>
              <w:pStyle w:val="NoSpacing"/>
            </w:pPr>
          </w:p>
          <w:p w:rsidR="00DC04F1" w:rsidRPr="00DC04F1" w:rsidRDefault="00DC04F1" w:rsidP="00DC04F1">
            <w:pPr>
              <w:pStyle w:val="NoSpacing"/>
              <w:rPr>
                <w:color w:val="4F81BD" w:themeColor="accent1"/>
              </w:rPr>
            </w:pPr>
            <w:r w:rsidRPr="00DC04F1">
              <w:rPr>
                <w:color w:val="4F81BD" w:themeColor="accent1"/>
              </w:rPr>
              <w:t xml:space="preserve">The ICO have yet to fully confirm the status of universities however they have indicated it is likely they will be viewed as public authorities. As such a range of legal </w:t>
            </w:r>
            <w:r>
              <w:rPr>
                <w:color w:val="4F81BD" w:themeColor="accent1"/>
              </w:rPr>
              <w:t>bases</w:t>
            </w:r>
            <w:r w:rsidRPr="00DC04F1">
              <w:rPr>
                <w:color w:val="4F81BD" w:themeColor="accent1"/>
              </w:rPr>
              <w:t xml:space="preserve"> will be available for use. Resultantly EMWPREP have re</w:t>
            </w:r>
            <w:r>
              <w:rPr>
                <w:color w:val="4F81BD" w:themeColor="accent1"/>
              </w:rPr>
              <w:t>-</w:t>
            </w:r>
            <w:r w:rsidRPr="00DC04F1">
              <w:rPr>
                <w:color w:val="4F81BD" w:themeColor="accent1"/>
              </w:rPr>
              <w:t>consulted with the DPO about our proposed new collection forms and made amendments based on his recommendations.</w:t>
            </w:r>
          </w:p>
          <w:p w:rsidR="00AE306A" w:rsidRPr="00DC04F1" w:rsidRDefault="00AE306A" w:rsidP="00AE306A">
            <w:pPr>
              <w:pStyle w:val="NoSpacing"/>
              <w:rPr>
                <w:color w:val="4F81BD" w:themeColor="accent1"/>
              </w:rPr>
            </w:pPr>
          </w:p>
          <w:p w:rsidR="00B716FE" w:rsidRPr="00DC04F1" w:rsidRDefault="00DC04F1" w:rsidP="00DC04F1">
            <w:pPr>
              <w:pStyle w:val="NoSpacing"/>
              <w:rPr>
                <w:color w:val="4F81BD" w:themeColor="accent1"/>
              </w:rPr>
            </w:pPr>
            <w:r w:rsidRPr="00DC04F1">
              <w:rPr>
                <w:color w:val="4F81BD" w:themeColor="accent1"/>
              </w:rPr>
              <w:t>The</w:t>
            </w:r>
            <w:r w:rsidR="00AE306A" w:rsidRPr="00DC04F1">
              <w:rPr>
                <w:color w:val="4F81BD" w:themeColor="accent1"/>
              </w:rPr>
              <w:t xml:space="preserve"> draft new forms </w:t>
            </w:r>
            <w:r w:rsidRPr="00DC04F1">
              <w:rPr>
                <w:color w:val="4F81BD" w:themeColor="accent1"/>
              </w:rPr>
              <w:t>have been sent to partners for comment.</w:t>
            </w:r>
          </w:p>
          <w:p w:rsidR="00DC04F1" w:rsidRPr="00DC04F1" w:rsidRDefault="00DC04F1" w:rsidP="00DC04F1">
            <w:pPr>
              <w:pStyle w:val="NoSpacing"/>
              <w:rPr>
                <w:color w:val="4F81BD" w:themeColor="accent1"/>
              </w:rPr>
            </w:pPr>
          </w:p>
          <w:p w:rsidR="00DC04F1" w:rsidRPr="00DC04F1" w:rsidRDefault="00DC04F1" w:rsidP="00DC04F1">
            <w:pPr>
              <w:pStyle w:val="NoSpacing"/>
              <w:rPr>
                <w:color w:val="4F81BD" w:themeColor="accent1"/>
              </w:rPr>
            </w:pPr>
            <w:r w:rsidRPr="00DC04F1">
              <w:rPr>
                <w:color w:val="4F81BD" w:themeColor="accent1"/>
              </w:rPr>
              <w:t xml:space="preserve">EMWPREP are in </w:t>
            </w:r>
            <w:r w:rsidR="00DB4EDA" w:rsidRPr="00DC04F1">
              <w:rPr>
                <w:color w:val="4F81BD" w:themeColor="accent1"/>
              </w:rPr>
              <w:t>consultation</w:t>
            </w:r>
            <w:r w:rsidRPr="00DC04F1">
              <w:rPr>
                <w:color w:val="4F81BD" w:themeColor="accent1"/>
              </w:rPr>
              <w:t xml:space="preserve"> with the Design Team at Loughborough to refresh the look of the forms.</w:t>
            </w:r>
          </w:p>
          <w:p w:rsidR="00DC04F1" w:rsidRPr="00CA47FD" w:rsidRDefault="00DC04F1" w:rsidP="00DC04F1">
            <w:pPr>
              <w:pStyle w:val="NoSpacing"/>
            </w:pPr>
          </w:p>
        </w:tc>
      </w:tr>
      <w:tr w:rsidR="00B716FE" w:rsidRPr="00CA47FD" w:rsidTr="00B716FE">
        <w:tc>
          <w:tcPr>
            <w:tcW w:w="4621" w:type="dxa"/>
          </w:tcPr>
          <w:p w:rsidR="00B716FE" w:rsidRPr="00CA47FD" w:rsidRDefault="00B716FE" w:rsidP="00B716FE">
            <w:pPr>
              <w:pStyle w:val="NoSpacing"/>
            </w:pPr>
            <w:r w:rsidRPr="00CA47FD">
              <w:t>Create specific data sharing and retention policies to explicitly describe what we are doing with data and how long the information is retained. We may seek to change statements on forms thus confirming what our research is in clear English and provide links to further information.</w:t>
            </w:r>
          </w:p>
        </w:tc>
        <w:tc>
          <w:tcPr>
            <w:tcW w:w="4621" w:type="dxa"/>
          </w:tcPr>
          <w:p w:rsidR="00B716FE" w:rsidRPr="00D2181E" w:rsidRDefault="00D2181E" w:rsidP="00D2181E">
            <w:r w:rsidRPr="00D2181E">
              <w:t>EMWPREP have drafted a new Data Retention and Deletion Policy as well as a Data Sharing policy explaining in detail what we are doing with data and how long the information is retained.</w:t>
            </w:r>
          </w:p>
          <w:p w:rsidR="00D2181E" w:rsidRPr="00D2181E" w:rsidRDefault="00D2181E" w:rsidP="00D2181E">
            <w:r w:rsidRPr="00D2181E">
              <w:t>We have also created new website pages to house these documents and provided updated links to them on the new data collection forms.</w:t>
            </w:r>
          </w:p>
          <w:p w:rsidR="00D2181E" w:rsidRDefault="00D2181E" w:rsidP="00D2181E">
            <w:r w:rsidRPr="00D2181E">
              <w:t>These documents are currently being reviewed by the DPO at Loughborough University, and will be forwarded to all partners for comment once initial approval has been granted.</w:t>
            </w:r>
          </w:p>
          <w:p w:rsidR="00DB4EDA" w:rsidRPr="00DB4EDA" w:rsidRDefault="00DB4EDA" w:rsidP="00D2181E">
            <w:pPr>
              <w:rPr>
                <w:color w:val="4F81BD" w:themeColor="accent1"/>
              </w:rPr>
            </w:pPr>
            <w:r>
              <w:rPr>
                <w:color w:val="4F81BD" w:themeColor="accent1"/>
              </w:rPr>
              <w:lastRenderedPageBreak/>
              <w:t xml:space="preserve">Feedback from the </w:t>
            </w:r>
            <w:proofErr w:type="spellStart"/>
            <w:r>
              <w:rPr>
                <w:color w:val="4F81BD" w:themeColor="accent1"/>
              </w:rPr>
              <w:t>DPO</w:t>
            </w:r>
            <w:proofErr w:type="spellEnd"/>
            <w:r w:rsidRPr="00DC04F1">
              <w:rPr>
                <w:color w:val="4F81BD" w:themeColor="accent1"/>
              </w:rPr>
              <w:t xml:space="preserve"> at Loughborough has been received and amendments have been made. </w:t>
            </w:r>
            <w:r>
              <w:rPr>
                <w:color w:val="4F81BD" w:themeColor="accent1"/>
              </w:rPr>
              <w:t>Final a</w:t>
            </w:r>
            <w:r w:rsidRPr="00DC04F1">
              <w:rPr>
                <w:color w:val="4F81BD" w:themeColor="accent1"/>
              </w:rPr>
              <w:t xml:space="preserve">pproval </w:t>
            </w:r>
            <w:r>
              <w:rPr>
                <w:color w:val="4F81BD" w:themeColor="accent1"/>
              </w:rPr>
              <w:t xml:space="preserve">from the Loughborough </w:t>
            </w:r>
            <w:proofErr w:type="spellStart"/>
            <w:r>
              <w:rPr>
                <w:color w:val="4F81BD" w:themeColor="accent1"/>
              </w:rPr>
              <w:t>DPO</w:t>
            </w:r>
            <w:proofErr w:type="spellEnd"/>
            <w:r>
              <w:rPr>
                <w:color w:val="4F81BD" w:themeColor="accent1"/>
              </w:rPr>
              <w:t xml:space="preserve"> </w:t>
            </w:r>
            <w:r w:rsidRPr="00DC04F1">
              <w:rPr>
                <w:color w:val="4F81BD" w:themeColor="accent1"/>
              </w:rPr>
              <w:t>is now pending.</w:t>
            </w:r>
          </w:p>
        </w:tc>
      </w:tr>
      <w:tr w:rsidR="00B716FE" w:rsidRPr="00CA47FD" w:rsidTr="00B716FE">
        <w:tc>
          <w:tcPr>
            <w:tcW w:w="4621" w:type="dxa"/>
          </w:tcPr>
          <w:p w:rsidR="00B716FE" w:rsidRPr="00CA47FD" w:rsidRDefault="00B716FE" w:rsidP="00B716FE">
            <w:pPr>
              <w:pStyle w:val="NoSpacing"/>
            </w:pPr>
            <w:r w:rsidRPr="00CA47FD">
              <w:lastRenderedPageBreak/>
              <w:t>Create a new auditing policy to ensure that hard copy data (consent forms) is stored correctly by all partners, and that all are adhering to the new data compliance agreement.</w:t>
            </w:r>
          </w:p>
        </w:tc>
        <w:tc>
          <w:tcPr>
            <w:tcW w:w="4621" w:type="dxa"/>
          </w:tcPr>
          <w:p w:rsidR="00B716FE" w:rsidRPr="00CA47FD" w:rsidRDefault="00D2181E" w:rsidP="00D2181E">
            <w:pPr>
              <w:rPr>
                <w:b/>
                <w:bCs/>
                <w:color w:val="4F81BD" w:themeColor="accent1"/>
              </w:rPr>
            </w:pPr>
            <w:r>
              <w:t xml:space="preserve">Work has </w:t>
            </w:r>
            <w:r w:rsidRPr="008D1EB2">
              <w:t xml:space="preserve">commenced </w:t>
            </w:r>
            <w:r>
              <w:t xml:space="preserve">on the new </w:t>
            </w:r>
            <w:r w:rsidRPr="008D1EB2">
              <w:t>Audit Policy</w:t>
            </w:r>
            <w:r>
              <w:t xml:space="preserve"> document which will provide detailed guidance to partners as to how to under thorough internal audits of database related procedures as well as providing information on EMWPREP external audits which will commence after May 2018.</w:t>
            </w:r>
          </w:p>
        </w:tc>
      </w:tr>
      <w:tr w:rsidR="00B716FE" w:rsidRPr="00CA47FD" w:rsidTr="00B716FE">
        <w:tc>
          <w:tcPr>
            <w:tcW w:w="4621" w:type="dxa"/>
          </w:tcPr>
          <w:p w:rsidR="00B716FE" w:rsidRPr="00CA47FD" w:rsidRDefault="00B716FE" w:rsidP="00B716FE">
            <w:pPr>
              <w:pStyle w:val="NoSpacing"/>
            </w:pPr>
            <w:r w:rsidRPr="00CA47FD">
              <w:t>Create a system to ensure (where possible) participants have a right to be forgotten. Which may require contacting participants before removal, however could have possible issue if they have said no contact.</w:t>
            </w:r>
          </w:p>
        </w:tc>
        <w:tc>
          <w:tcPr>
            <w:tcW w:w="4621" w:type="dxa"/>
          </w:tcPr>
          <w:p w:rsidR="00B716FE" w:rsidRDefault="00D2181E" w:rsidP="00B716FE">
            <w:r w:rsidRPr="00D2181E">
              <w:t xml:space="preserve">EMWPREP have commenced work on the website provide participants with the right </w:t>
            </w:r>
            <w:r w:rsidR="00AB5ABB" w:rsidRPr="00D2181E">
              <w:t>to</w:t>
            </w:r>
            <w:r w:rsidRPr="00D2181E">
              <w:t xml:space="preserve"> be forgotten via an Individual Data Removal Form</w:t>
            </w:r>
            <w:r w:rsidR="00DB4EDA">
              <w:t>.</w:t>
            </w:r>
          </w:p>
          <w:p w:rsidR="00DB4EDA" w:rsidRDefault="00DB4EDA" w:rsidP="00B716FE">
            <w:pPr>
              <w:rPr>
                <w:bCs/>
                <w:color w:val="4F81BD" w:themeColor="accent1"/>
              </w:rPr>
            </w:pPr>
            <w:r w:rsidRPr="00DB4EDA">
              <w:rPr>
                <w:bCs/>
                <w:color w:val="4F81BD" w:themeColor="accent1"/>
              </w:rPr>
              <w:t xml:space="preserve">EMWPREP </w:t>
            </w:r>
            <w:r>
              <w:rPr>
                <w:bCs/>
                <w:color w:val="4F81BD" w:themeColor="accent1"/>
              </w:rPr>
              <w:t>have produced three contact forms for use alongside our data collection forms which will be housed on our website:</w:t>
            </w:r>
          </w:p>
          <w:p w:rsidR="00DB4EDA" w:rsidRDefault="00DB4EDA" w:rsidP="00DB4EDA">
            <w:pPr>
              <w:pStyle w:val="ListParagraph"/>
              <w:numPr>
                <w:ilvl w:val="0"/>
                <w:numId w:val="14"/>
              </w:numPr>
              <w:rPr>
                <w:bCs/>
                <w:color w:val="4F81BD" w:themeColor="accent1"/>
              </w:rPr>
            </w:pPr>
            <w:r>
              <w:rPr>
                <w:bCs/>
                <w:color w:val="4F81BD" w:themeColor="accent1"/>
              </w:rPr>
              <w:t>Individual Data Removal Form</w:t>
            </w:r>
          </w:p>
          <w:p w:rsidR="00DB4EDA" w:rsidRDefault="00DB4EDA" w:rsidP="00DB4EDA">
            <w:pPr>
              <w:pStyle w:val="ListParagraph"/>
              <w:numPr>
                <w:ilvl w:val="0"/>
                <w:numId w:val="14"/>
              </w:numPr>
              <w:rPr>
                <w:bCs/>
                <w:color w:val="4F81BD" w:themeColor="accent1"/>
              </w:rPr>
            </w:pPr>
            <w:r>
              <w:rPr>
                <w:bCs/>
                <w:color w:val="4F81BD" w:themeColor="accent1"/>
              </w:rPr>
              <w:t>Subject Access Request Form</w:t>
            </w:r>
          </w:p>
          <w:p w:rsidR="00DB4EDA" w:rsidRDefault="00DB4EDA" w:rsidP="00DB4EDA">
            <w:pPr>
              <w:pStyle w:val="ListParagraph"/>
              <w:numPr>
                <w:ilvl w:val="0"/>
                <w:numId w:val="14"/>
              </w:numPr>
              <w:rPr>
                <w:bCs/>
                <w:color w:val="4F81BD" w:themeColor="accent1"/>
              </w:rPr>
            </w:pPr>
            <w:r>
              <w:rPr>
                <w:bCs/>
                <w:color w:val="4F81BD" w:themeColor="accent1"/>
              </w:rPr>
              <w:t>Update your Details Form</w:t>
            </w:r>
          </w:p>
          <w:p w:rsidR="00DB4EDA" w:rsidRPr="00DB4EDA" w:rsidRDefault="00DB4EDA" w:rsidP="00DB4EDA">
            <w:pPr>
              <w:rPr>
                <w:bCs/>
                <w:color w:val="4F81BD" w:themeColor="accent1"/>
              </w:rPr>
            </w:pPr>
            <w:r>
              <w:rPr>
                <w:bCs/>
                <w:color w:val="4F81BD" w:themeColor="accent1"/>
              </w:rPr>
              <w:t>These will allow participants to investigate what data is stored, update their records is required, and requesting the right to be forgotten.</w:t>
            </w:r>
          </w:p>
        </w:tc>
      </w:tr>
      <w:tr w:rsidR="00B716FE" w:rsidRPr="00CA47FD" w:rsidTr="00B716FE">
        <w:tc>
          <w:tcPr>
            <w:tcW w:w="4621" w:type="dxa"/>
          </w:tcPr>
          <w:p w:rsidR="00B716FE" w:rsidRPr="00CA47FD" w:rsidRDefault="00B716FE" w:rsidP="00B716FE">
            <w:pPr>
              <w:pStyle w:val="NoSpacing"/>
            </w:pPr>
            <w:r w:rsidRPr="00CA47FD">
              <w:t>Carry out a full audit and data cleanse of the 102,000 records currently on the database.</w:t>
            </w:r>
          </w:p>
          <w:p w:rsidR="00B716FE" w:rsidRPr="00CA47FD" w:rsidRDefault="00B716FE" w:rsidP="00B716FE">
            <w:pPr>
              <w:pStyle w:val="NoSpacing"/>
            </w:pPr>
          </w:p>
        </w:tc>
        <w:tc>
          <w:tcPr>
            <w:tcW w:w="4621" w:type="dxa"/>
          </w:tcPr>
          <w:p w:rsidR="00B716FE" w:rsidRDefault="00480CF0" w:rsidP="00480CF0">
            <w:pPr>
              <w:pStyle w:val="NoSpacing"/>
            </w:pPr>
            <w:r>
              <w:t>A full cleanse of the database has been delayed until the new system launches as we have built in features to help facilitate this such as automatic merging of participant records (which will help when duplicates are found); and upgrading of participant bulk uploads (which will help when anonymising participant records).</w:t>
            </w:r>
          </w:p>
          <w:p w:rsidR="007E1A46" w:rsidRDefault="007E1A46" w:rsidP="00480CF0">
            <w:pPr>
              <w:pStyle w:val="NoSpacing"/>
            </w:pPr>
          </w:p>
          <w:p w:rsidR="007E1A46" w:rsidRPr="00CA47FD" w:rsidRDefault="007E1A46" w:rsidP="00480CF0">
            <w:pPr>
              <w:pStyle w:val="NoSpacing"/>
            </w:pPr>
            <w:r w:rsidRPr="007E1A46">
              <w:rPr>
                <w:color w:val="4F81BD" w:themeColor="accent1"/>
              </w:rPr>
              <w:t>The new database launched on 16</w:t>
            </w:r>
            <w:r w:rsidRPr="007E1A46">
              <w:rPr>
                <w:color w:val="4F81BD" w:themeColor="accent1"/>
                <w:vertAlign w:val="superscript"/>
              </w:rPr>
              <w:t>th</w:t>
            </w:r>
            <w:r w:rsidRPr="007E1A46">
              <w:rPr>
                <w:color w:val="4F81BD" w:themeColor="accent1"/>
              </w:rPr>
              <w:t xml:space="preserve"> January. Whilst the system was tested prior to launch minor glitches have been identified and fixing these takes </w:t>
            </w:r>
            <w:r>
              <w:rPr>
                <w:color w:val="4F81BD" w:themeColor="accent1"/>
              </w:rPr>
              <w:t>priority</w:t>
            </w:r>
            <w:r w:rsidRPr="007E1A46">
              <w:rPr>
                <w:color w:val="4F81BD" w:themeColor="accent1"/>
              </w:rPr>
              <w:t xml:space="preserve">. Once the system has been fully operational for </w:t>
            </w:r>
            <w:proofErr w:type="gramStart"/>
            <w:r w:rsidRPr="007E1A46">
              <w:rPr>
                <w:color w:val="4F81BD" w:themeColor="accent1"/>
              </w:rPr>
              <w:t>a short period</w:t>
            </w:r>
            <w:proofErr w:type="gramEnd"/>
            <w:r w:rsidRPr="007E1A46">
              <w:rPr>
                <w:color w:val="4F81BD" w:themeColor="accent1"/>
              </w:rPr>
              <w:t xml:space="preserve"> a full cleanse of the database will take place.</w:t>
            </w:r>
          </w:p>
        </w:tc>
      </w:tr>
      <w:tr w:rsidR="00B716FE" w:rsidRPr="00CA47FD" w:rsidTr="00B716FE">
        <w:tc>
          <w:tcPr>
            <w:tcW w:w="4621" w:type="dxa"/>
          </w:tcPr>
          <w:p w:rsidR="00B716FE" w:rsidRPr="00CA47FD" w:rsidRDefault="00B716FE" w:rsidP="00B716FE">
            <w:pPr>
              <w:pStyle w:val="NoSpacing"/>
            </w:pPr>
            <w:r w:rsidRPr="00CA47FD">
              <w:t>Refresh hosting and maintenance contracts with the Database Developer, Winona E-Solutions, to ensure we have adequate information security breach prevention policy and secure 3rd party data storage.</w:t>
            </w:r>
          </w:p>
        </w:tc>
        <w:tc>
          <w:tcPr>
            <w:tcW w:w="4621" w:type="dxa"/>
          </w:tcPr>
          <w:p w:rsidR="00B716FE" w:rsidRDefault="00480CF0" w:rsidP="00480CF0">
            <w:pPr>
              <w:pStyle w:val="NoSpacing"/>
            </w:pPr>
            <w:r>
              <w:t>Database contract are currently being reviewed by Loughborough’s DPO and IT Security teams.</w:t>
            </w:r>
          </w:p>
          <w:p w:rsidR="007E1A46" w:rsidRDefault="007E1A46" w:rsidP="00480CF0">
            <w:pPr>
              <w:pStyle w:val="NoSpacing"/>
            </w:pPr>
          </w:p>
          <w:p w:rsidR="007E1A46" w:rsidRPr="007E1A46" w:rsidRDefault="007E1A46" w:rsidP="00480CF0">
            <w:pPr>
              <w:pStyle w:val="NoSpacing"/>
              <w:rPr>
                <w:color w:val="4F81BD" w:themeColor="accent1"/>
              </w:rPr>
            </w:pPr>
            <w:r w:rsidRPr="007E1A46">
              <w:rPr>
                <w:color w:val="4F81BD" w:themeColor="accent1"/>
              </w:rPr>
              <w:t>Loughborough</w:t>
            </w:r>
            <w:r>
              <w:rPr>
                <w:color w:val="4F81BD" w:themeColor="accent1"/>
              </w:rPr>
              <w:t>’s</w:t>
            </w:r>
            <w:r w:rsidRPr="007E1A46">
              <w:rPr>
                <w:color w:val="4F81BD" w:themeColor="accent1"/>
              </w:rPr>
              <w:t xml:space="preserve"> procurement team are also reviewing our database contracts. Slight amendments will need to be made and </w:t>
            </w:r>
            <w:proofErr w:type="gramStart"/>
            <w:r w:rsidRPr="007E1A46">
              <w:rPr>
                <w:color w:val="4F81BD" w:themeColor="accent1"/>
              </w:rPr>
              <w:t>new terms</w:t>
            </w:r>
            <w:proofErr w:type="gramEnd"/>
            <w:r w:rsidRPr="007E1A46">
              <w:rPr>
                <w:color w:val="4F81BD" w:themeColor="accent1"/>
              </w:rPr>
              <w:t xml:space="preserve"> and conditions attached to subsequent POs</w:t>
            </w:r>
            <w:r>
              <w:rPr>
                <w:color w:val="4F81BD" w:themeColor="accent1"/>
              </w:rPr>
              <w:t xml:space="preserve"> in order to comply with GDPR.</w:t>
            </w:r>
          </w:p>
          <w:p w:rsidR="00480CF0" w:rsidRDefault="00480CF0" w:rsidP="00B716FE">
            <w:pPr>
              <w:pStyle w:val="NoSpacing"/>
            </w:pPr>
          </w:p>
          <w:p w:rsidR="00480CF0" w:rsidRDefault="00480CF0" w:rsidP="00B716FE">
            <w:pPr>
              <w:pStyle w:val="NoSpacing"/>
            </w:pPr>
            <w:r>
              <w:t xml:space="preserve">We have also taken the opportunity to fully </w:t>
            </w:r>
            <w:r>
              <w:lastRenderedPageBreak/>
              <w:t>security test the new database to ensure it is completely secure- this has resulted in a slight delay to the initial envisaged launch date.</w:t>
            </w:r>
          </w:p>
          <w:p w:rsidR="007E1A46" w:rsidRDefault="007E1A46" w:rsidP="00B716FE">
            <w:pPr>
              <w:pStyle w:val="NoSpacing"/>
            </w:pPr>
          </w:p>
          <w:p w:rsidR="007E1A46" w:rsidRPr="00CA47FD" w:rsidRDefault="007E1A46" w:rsidP="00B716FE">
            <w:pPr>
              <w:pStyle w:val="NoSpacing"/>
            </w:pPr>
            <w:r w:rsidRPr="007E1A46">
              <w:rPr>
                <w:color w:val="4F81BD" w:themeColor="accent1"/>
              </w:rPr>
              <w:t>The database has now launched.</w:t>
            </w:r>
          </w:p>
        </w:tc>
      </w:tr>
    </w:tbl>
    <w:p w:rsidR="00480CF0" w:rsidRDefault="00480CF0" w:rsidP="006F1CEF">
      <w:pPr>
        <w:rPr>
          <w:b/>
          <w:bCs/>
          <w:color w:val="4F81BD" w:themeColor="accent1"/>
          <w:sz w:val="24"/>
          <w:szCs w:val="24"/>
        </w:rPr>
      </w:pPr>
    </w:p>
    <w:p w:rsidR="004A0BE2" w:rsidRDefault="004A0BE2" w:rsidP="006F1CEF">
      <w:pPr>
        <w:rPr>
          <w:b/>
          <w:bCs/>
          <w:color w:val="4F81BD" w:themeColor="accent1"/>
          <w:sz w:val="24"/>
          <w:szCs w:val="24"/>
        </w:rPr>
      </w:pPr>
    </w:p>
    <w:p w:rsidR="004A0BE2" w:rsidRDefault="004A0BE2" w:rsidP="006F1CEF">
      <w:pPr>
        <w:rPr>
          <w:b/>
          <w:bCs/>
          <w:color w:val="4F81BD" w:themeColor="accent1"/>
          <w:sz w:val="24"/>
          <w:szCs w:val="24"/>
        </w:rPr>
      </w:pPr>
    </w:p>
    <w:p w:rsidR="004A0BE2" w:rsidRDefault="004A0BE2" w:rsidP="006F1CEF">
      <w:pPr>
        <w:rPr>
          <w:b/>
          <w:bCs/>
          <w:color w:val="4F81BD" w:themeColor="accent1"/>
          <w:sz w:val="24"/>
          <w:szCs w:val="24"/>
        </w:rPr>
      </w:pPr>
    </w:p>
    <w:p w:rsidR="004A0BE2" w:rsidRDefault="004A0BE2" w:rsidP="006F1CEF">
      <w:pPr>
        <w:rPr>
          <w:b/>
          <w:bCs/>
          <w:color w:val="4F81BD" w:themeColor="accent1"/>
          <w:sz w:val="24"/>
          <w:szCs w:val="24"/>
        </w:rPr>
      </w:pPr>
    </w:p>
    <w:p w:rsidR="004A0BE2" w:rsidRDefault="004A0BE2" w:rsidP="006F1CEF">
      <w:pPr>
        <w:rPr>
          <w:b/>
          <w:bCs/>
          <w:color w:val="4F81BD" w:themeColor="accent1"/>
          <w:sz w:val="24"/>
          <w:szCs w:val="24"/>
        </w:rPr>
      </w:pPr>
    </w:p>
    <w:p w:rsidR="004A0BE2" w:rsidRDefault="004A0BE2" w:rsidP="006F1CEF">
      <w:pPr>
        <w:rPr>
          <w:b/>
          <w:bCs/>
          <w:color w:val="4F81BD" w:themeColor="accent1"/>
          <w:sz w:val="24"/>
          <w:szCs w:val="24"/>
        </w:rPr>
      </w:pPr>
    </w:p>
    <w:p w:rsidR="004A0BE2" w:rsidRDefault="004A0BE2" w:rsidP="006F1CEF">
      <w:pPr>
        <w:rPr>
          <w:b/>
          <w:bCs/>
          <w:color w:val="4F81BD" w:themeColor="accent1"/>
          <w:sz w:val="24"/>
          <w:szCs w:val="24"/>
        </w:rPr>
      </w:pPr>
    </w:p>
    <w:p w:rsidR="004A0BE2" w:rsidRDefault="004A0BE2" w:rsidP="006F1CEF">
      <w:pPr>
        <w:rPr>
          <w:b/>
          <w:bCs/>
          <w:color w:val="4F81BD" w:themeColor="accent1"/>
          <w:sz w:val="24"/>
          <w:szCs w:val="24"/>
        </w:rPr>
      </w:pPr>
    </w:p>
    <w:p w:rsidR="004A0BE2" w:rsidRDefault="004A0BE2" w:rsidP="006F1CEF">
      <w:pPr>
        <w:rPr>
          <w:b/>
          <w:bCs/>
          <w:color w:val="4F81BD" w:themeColor="accent1"/>
          <w:sz w:val="24"/>
          <w:szCs w:val="24"/>
        </w:rPr>
      </w:pPr>
    </w:p>
    <w:p w:rsidR="004A0BE2" w:rsidRDefault="004A0BE2" w:rsidP="006F1CEF">
      <w:pPr>
        <w:rPr>
          <w:b/>
          <w:bCs/>
          <w:color w:val="4F81BD" w:themeColor="accent1"/>
          <w:sz w:val="24"/>
          <w:szCs w:val="24"/>
        </w:rPr>
      </w:pPr>
    </w:p>
    <w:p w:rsidR="004A0BE2" w:rsidRDefault="004A0BE2" w:rsidP="006F1CEF">
      <w:pPr>
        <w:rPr>
          <w:b/>
          <w:bCs/>
          <w:color w:val="4F81BD" w:themeColor="accent1"/>
          <w:sz w:val="24"/>
          <w:szCs w:val="24"/>
        </w:rPr>
      </w:pPr>
    </w:p>
    <w:p w:rsidR="004A0BE2" w:rsidRDefault="004A0BE2" w:rsidP="006F1CEF">
      <w:pPr>
        <w:rPr>
          <w:b/>
          <w:bCs/>
          <w:color w:val="4F81BD" w:themeColor="accent1"/>
          <w:sz w:val="24"/>
          <w:szCs w:val="24"/>
        </w:rPr>
      </w:pPr>
    </w:p>
    <w:p w:rsidR="004A0BE2" w:rsidRDefault="004A0BE2" w:rsidP="006F1CEF">
      <w:pPr>
        <w:rPr>
          <w:b/>
          <w:bCs/>
          <w:color w:val="4F81BD" w:themeColor="accent1"/>
          <w:sz w:val="24"/>
          <w:szCs w:val="24"/>
        </w:rPr>
      </w:pPr>
    </w:p>
    <w:p w:rsidR="004A0BE2" w:rsidRDefault="004A0BE2" w:rsidP="006F1CEF">
      <w:pPr>
        <w:rPr>
          <w:b/>
          <w:bCs/>
          <w:color w:val="4F81BD" w:themeColor="accent1"/>
          <w:sz w:val="24"/>
          <w:szCs w:val="24"/>
        </w:rPr>
      </w:pPr>
    </w:p>
    <w:p w:rsidR="004A0BE2" w:rsidRDefault="004A0BE2" w:rsidP="006F1CEF">
      <w:pPr>
        <w:rPr>
          <w:b/>
          <w:bCs/>
          <w:color w:val="4F81BD" w:themeColor="accent1"/>
          <w:sz w:val="24"/>
          <w:szCs w:val="24"/>
        </w:rPr>
      </w:pPr>
    </w:p>
    <w:p w:rsidR="004A0BE2" w:rsidRDefault="004A0BE2" w:rsidP="006F1CEF">
      <w:pPr>
        <w:rPr>
          <w:b/>
          <w:bCs/>
          <w:color w:val="4F81BD" w:themeColor="accent1"/>
          <w:sz w:val="24"/>
          <w:szCs w:val="24"/>
        </w:rPr>
      </w:pPr>
    </w:p>
    <w:p w:rsidR="004A0BE2" w:rsidRDefault="004A0BE2" w:rsidP="006F1CEF">
      <w:pPr>
        <w:rPr>
          <w:b/>
          <w:bCs/>
          <w:color w:val="4F81BD" w:themeColor="accent1"/>
          <w:sz w:val="24"/>
          <w:szCs w:val="24"/>
        </w:rPr>
      </w:pPr>
    </w:p>
    <w:p w:rsidR="004A0BE2" w:rsidRDefault="004A0BE2" w:rsidP="006F1CEF">
      <w:pPr>
        <w:rPr>
          <w:b/>
          <w:bCs/>
          <w:color w:val="4F81BD" w:themeColor="accent1"/>
          <w:sz w:val="24"/>
          <w:szCs w:val="24"/>
        </w:rPr>
      </w:pPr>
    </w:p>
    <w:p w:rsidR="004A0BE2" w:rsidRDefault="004A0BE2" w:rsidP="006F1CEF">
      <w:pPr>
        <w:rPr>
          <w:b/>
          <w:bCs/>
          <w:color w:val="4F81BD" w:themeColor="accent1"/>
          <w:sz w:val="24"/>
          <w:szCs w:val="24"/>
        </w:rPr>
      </w:pPr>
    </w:p>
    <w:p w:rsidR="004A0BE2" w:rsidRDefault="004A0BE2" w:rsidP="006F1CEF">
      <w:pPr>
        <w:rPr>
          <w:b/>
          <w:bCs/>
          <w:color w:val="4F81BD" w:themeColor="accent1"/>
          <w:sz w:val="24"/>
          <w:szCs w:val="24"/>
        </w:rPr>
      </w:pPr>
    </w:p>
    <w:p w:rsidR="004A0BE2" w:rsidRDefault="004A0BE2" w:rsidP="006F1CEF">
      <w:pPr>
        <w:rPr>
          <w:b/>
          <w:bCs/>
          <w:color w:val="4F81BD" w:themeColor="accent1"/>
          <w:sz w:val="24"/>
          <w:szCs w:val="24"/>
        </w:rPr>
      </w:pPr>
    </w:p>
    <w:p w:rsidR="004A0BE2" w:rsidRDefault="004A0BE2" w:rsidP="006F1CEF">
      <w:pPr>
        <w:rPr>
          <w:b/>
          <w:bCs/>
          <w:color w:val="4F81BD" w:themeColor="accent1"/>
          <w:sz w:val="24"/>
          <w:szCs w:val="24"/>
        </w:rPr>
      </w:pPr>
    </w:p>
    <w:p w:rsidR="004A0BE2" w:rsidRDefault="004A0BE2" w:rsidP="006F1CEF">
      <w:pPr>
        <w:rPr>
          <w:b/>
          <w:bCs/>
          <w:color w:val="4F81BD" w:themeColor="accent1"/>
          <w:sz w:val="24"/>
          <w:szCs w:val="24"/>
        </w:rPr>
      </w:pPr>
    </w:p>
    <w:p w:rsidR="004A0BE2" w:rsidRDefault="004A0BE2" w:rsidP="006F1CEF">
      <w:pPr>
        <w:rPr>
          <w:b/>
          <w:bCs/>
          <w:color w:val="4F81BD" w:themeColor="accent1"/>
          <w:sz w:val="24"/>
          <w:szCs w:val="24"/>
        </w:rPr>
      </w:pPr>
    </w:p>
    <w:p w:rsidR="004A0BE2" w:rsidRDefault="004A0BE2" w:rsidP="006F1CEF">
      <w:pPr>
        <w:rPr>
          <w:b/>
          <w:bCs/>
          <w:color w:val="4F81BD" w:themeColor="accent1"/>
          <w:sz w:val="24"/>
          <w:szCs w:val="24"/>
        </w:rPr>
      </w:pPr>
      <w:bookmarkStart w:id="0" w:name="_GoBack"/>
      <w:bookmarkEnd w:id="0"/>
    </w:p>
    <w:p w:rsidR="001D7E25" w:rsidRDefault="001D7E25" w:rsidP="006F1CEF">
      <w:pPr>
        <w:rPr>
          <w:b/>
          <w:bCs/>
          <w:color w:val="4F81BD" w:themeColor="accent1"/>
          <w:sz w:val="24"/>
          <w:szCs w:val="24"/>
        </w:rPr>
      </w:pPr>
      <w:r w:rsidRPr="001D7E25">
        <w:rPr>
          <w:b/>
          <w:bCs/>
          <w:color w:val="4F81BD" w:themeColor="accent1"/>
          <w:sz w:val="24"/>
          <w:szCs w:val="24"/>
        </w:rPr>
        <w:lastRenderedPageBreak/>
        <w:t>Timetable for changes</w:t>
      </w:r>
      <w:r w:rsidR="007F6ED2">
        <w:rPr>
          <w:b/>
          <w:bCs/>
          <w:color w:val="4F81BD" w:themeColor="accent1"/>
          <w:sz w:val="24"/>
          <w:szCs w:val="24"/>
        </w:rPr>
        <w:t xml:space="preserve"> (subject to change</w:t>
      </w:r>
      <w:r w:rsidR="007E1A46">
        <w:rPr>
          <w:b/>
          <w:bCs/>
          <w:color w:val="4F81BD" w:themeColor="accent1"/>
          <w:sz w:val="24"/>
          <w:szCs w:val="24"/>
        </w:rPr>
        <w:t xml:space="preserve"> and amendments can be seen in blue</w:t>
      </w:r>
      <w:r w:rsidR="007F6ED2">
        <w:rPr>
          <w:b/>
          <w:bCs/>
          <w:color w:val="4F81BD" w:themeColor="accent1"/>
          <w:sz w:val="24"/>
          <w:szCs w:val="24"/>
        </w:rPr>
        <w:t>)</w:t>
      </w:r>
    </w:p>
    <w:tbl>
      <w:tblPr>
        <w:tblStyle w:val="TableGrid"/>
        <w:tblW w:w="0" w:type="auto"/>
        <w:tblLook w:val="04A0" w:firstRow="1" w:lastRow="0" w:firstColumn="1" w:lastColumn="0" w:noHBand="0" w:noVBand="1"/>
      </w:tblPr>
      <w:tblGrid>
        <w:gridCol w:w="571"/>
        <w:gridCol w:w="1371"/>
        <w:gridCol w:w="4002"/>
        <w:gridCol w:w="3298"/>
      </w:tblGrid>
      <w:tr w:rsidR="004A0BE2" w:rsidTr="00B716FE">
        <w:tc>
          <w:tcPr>
            <w:tcW w:w="571" w:type="dxa"/>
            <w:vMerge w:val="restart"/>
          </w:tcPr>
          <w:p w:rsidR="004A0BE2" w:rsidRDefault="004A0BE2" w:rsidP="006F1CEF">
            <w:pPr>
              <w:rPr>
                <w:b/>
                <w:bCs/>
                <w:color w:val="4F81BD" w:themeColor="accent1"/>
                <w:sz w:val="24"/>
                <w:szCs w:val="24"/>
              </w:rPr>
            </w:pPr>
            <w:r>
              <w:rPr>
                <w:b/>
                <w:bCs/>
                <w:noProof/>
                <w:color w:val="4F81BD" w:themeColor="accent1"/>
                <w:sz w:val="24"/>
                <w:szCs w:val="24"/>
                <w:lang w:eastAsia="zh-CN"/>
              </w:rPr>
              <mc:AlternateContent>
                <mc:Choice Requires="wps">
                  <w:drawing>
                    <wp:anchor distT="0" distB="0" distL="114300" distR="114300" simplePos="0" relativeHeight="251663360" behindDoc="0" locked="0" layoutInCell="1" allowOverlap="1" wp14:anchorId="1401E347" wp14:editId="2778C5CE">
                      <wp:simplePos x="0" y="0"/>
                      <wp:positionH relativeFrom="column">
                        <wp:posOffset>85725</wp:posOffset>
                      </wp:positionH>
                      <wp:positionV relativeFrom="paragraph">
                        <wp:posOffset>584835</wp:posOffset>
                      </wp:positionV>
                      <wp:extent cx="0" cy="6286500"/>
                      <wp:effectExtent l="9525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6286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D252DB" id="_x0000_t32" coordsize="21600,21600" o:spt="32" o:oned="t" path="m,l21600,21600e" filled="f">
                      <v:path arrowok="t" fillok="f" o:connecttype="none"/>
                      <o:lock v:ext="edit" shapetype="t"/>
                    </v:shapetype>
                    <v:shape id="Straight Arrow Connector 1" o:spid="_x0000_s1026" type="#_x0000_t32" style="position:absolute;margin-left:6.75pt;margin-top:46.05pt;width:0;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" strokecolor="black [3040]">
                      <v:stroke endarrow="open"/>
                    </v:shape>
                  </w:pict>
                </mc:Fallback>
              </mc:AlternateContent>
            </w:r>
          </w:p>
        </w:tc>
        <w:tc>
          <w:tcPr>
            <w:tcW w:w="1371" w:type="dxa"/>
          </w:tcPr>
          <w:p w:rsidR="004A0BE2" w:rsidRDefault="004A0BE2" w:rsidP="006F1CEF">
            <w:pPr>
              <w:rPr>
                <w:b/>
                <w:bCs/>
                <w:color w:val="4F81BD" w:themeColor="accent1"/>
                <w:sz w:val="24"/>
                <w:szCs w:val="24"/>
              </w:rPr>
            </w:pPr>
            <w:r>
              <w:rPr>
                <w:b/>
                <w:bCs/>
                <w:color w:val="4F81BD" w:themeColor="accent1"/>
                <w:sz w:val="24"/>
                <w:szCs w:val="24"/>
              </w:rPr>
              <w:t>Timeline</w:t>
            </w:r>
          </w:p>
        </w:tc>
        <w:tc>
          <w:tcPr>
            <w:tcW w:w="4002" w:type="dxa"/>
          </w:tcPr>
          <w:p w:rsidR="004A0BE2" w:rsidRDefault="004A0BE2" w:rsidP="006F1CEF">
            <w:pPr>
              <w:rPr>
                <w:b/>
                <w:bCs/>
                <w:color w:val="4F81BD" w:themeColor="accent1"/>
                <w:sz w:val="24"/>
                <w:szCs w:val="24"/>
              </w:rPr>
            </w:pPr>
            <w:r>
              <w:rPr>
                <w:b/>
                <w:bCs/>
                <w:color w:val="4F81BD" w:themeColor="accent1"/>
                <w:sz w:val="24"/>
                <w:szCs w:val="24"/>
              </w:rPr>
              <w:t>Action</w:t>
            </w:r>
          </w:p>
        </w:tc>
        <w:tc>
          <w:tcPr>
            <w:tcW w:w="3298" w:type="dxa"/>
          </w:tcPr>
          <w:p w:rsidR="004A0BE2" w:rsidRDefault="004A0BE2" w:rsidP="006F1CEF">
            <w:pPr>
              <w:rPr>
                <w:b/>
                <w:bCs/>
                <w:color w:val="4F81BD" w:themeColor="accent1"/>
                <w:sz w:val="24"/>
                <w:szCs w:val="24"/>
              </w:rPr>
            </w:pPr>
            <w:r>
              <w:rPr>
                <w:b/>
                <w:bCs/>
                <w:color w:val="4F81BD" w:themeColor="accent1"/>
                <w:sz w:val="24"/>
                <w:szCs w:val="24"/>
              </w:rPr>
              <w:t>Progress</w:t>
            </w:r>
          </w:p>
        </w:tc>
      </w:tr>
      <w:tr w:rsidR="004A0BE2" w:rsidTr="00B716FE">
        <w:tc>
          <w:tcPr>
            <w:tcW w:w="571" w:type="dxa"/>
            <w:vMerge/>
          </w:tcPr>
          <w:p w:rsidR="004A0BE2" w:rsidRDefault="004A0BE2" w:rsidP="006F1CEF">
            <w:pPr>
              <w:rPr>
                <w:b/>
                <w:bCs/>
                <w:color w:val="4F81BD" w:themeColor="accent1"/>
                <w:sz w:val="24"/>
                <w:szCs w:val="24"/>
              </w:rPr>
            </w:pPr>
          </w:p>
        </w:tc>
        <w:tc>
          <w:tcPr>
            <w:tcW w:w="1371" w:type="dxa"/>
            <w:vMerge w:val="restart"/>
          </w:tcPr>
          <w:p w:rsidR="004A0BE2" w:rsidRPr="007F6ED2" w:rsidRDefault="004A0BE2" w:rsidP="006F1CEF">
            <w:r w:rsidRPr="007F6ED2">
              <w:t>June 2017</w:t>
            </w:r>
          </w:p>
        </w:tc>
        <w:tc>
          <w:tcPr>
            <w:tcW w:w="4002" w:type="dxa"/>
          </w:tcPr>
          <w:p w:rsidR="004A0BE2" w:rsidRPr="007F6ED2" w:rsidRDefault="004A0BE2" w:rsidP="00480CF0">
            <w:r w:rsidRPr="007F6ED2">
              <w:t>EMWPREP Scoping exercise to establish data mapping and uses</w:t>
            </w:r>
          </w:p>
        </w:tc>
        <w:tc>
          <w:tcPr>
            <w:tcW w:w="3298" w:type="dxa"/>
          </w:tcPr>
          <w:p w:rsidR="004A0BE2" w:rsidRPr="007F6ED2" w:rsidRDefault="004A0BE2" w:rsidP="00480CF0">
            <w:r>
              <w:t>Untaken and information gleaned used in How we use your data policy document</w:t>
            </w:r>
          </w:p>
        </w:tc>
      </w:tr>
      <w:tr w:rsidR="004A0BE2" w:rsidTr="00B716FE">
        <w:tc>
          <w:tcPr>
            <w:tcW w:w="571" w:type="dxa"/>
            <w:vMerge/>
          </w:tcPr>
          <w:p w:rsidR="004A0BE2" w:rsidRDefault="004A0BE2" w:rsidP="006F1CEF">
            <w:pPr>
              <w:rPr>
                <w:b/>
                <w:bCs/>
                <w:color w:val="4F81BD" w:themeColor="accent1"/>
                <w:sz w:val="24"/>
                <w:szCs w:val="24"/>
              </w:rPr>
            </w:pPr>
          </w:p>
        </w:tc>
        <w:tc>
          <w:tcPr>
            <w:tcW w:w="1371" w:type="dxa"/>
            <w:vMerge/>
          </w:tcPr>
          <w:p w:rsidR="004A0BE2" w:rsidRPr="007F6ED2" w:rsidRDefault="004A0BE2" w:rsidP="006F1CEF"/>
        </w:tc>
        <w:tc>
          <w:tcPr>
            <w:tcW w:w="4002" w:type="dxa"/>
          </w:tcPr>
          <w:p w:rsidR="004A0BE2" w:rsidRPr="007F6ED2" w:rsidRDefault="004A0BE2" w:rsidP="006F1CEF">
            <w:r>
              <w:t>Start Database Audit and Cleanse</w:t>
            </w:r>
          </w:p>
        </w:tc>
        <w:tc>
          <w:tcPr>
            <w:tcW w:w="3298" w:type="dxa"/>
          </w:tcPr>
          <w:p w:rsidR="004A0BE2" w:rsidRPr="007F6ED2" w:rsidRDefault="004A0BE2" w:rsidP="006F1CEF">
            <w:r>
              <w:t>Delayed until new system launches</w:t>
            </w:r>
          </w:p>
        </w:tc>
      </w:tr>
      <w:tr w:rsidR="004A0BE2" w:rsidTr="00B716FE">
        <w:tc>
          <w:tcPr>
            <w:tcW w:w="571" w:type="dxa"/>
            <w:vMerge/>
          </w:tcPr>
          <w:p w:rsidR="004A0BE2" w:rsidRDefault="004A0BE2" w:rsidP="007E1A46">
            <w:pPr>
              <w:rPr>
                <w:b/>
                <w:bCs/>
                <w:color w:val="4F81BD" w:themeColor="accent1"/>
                <w:sz w:val="24"/>
                <w:szCs w:val="24"/>
              </w:rPr>
            </w:pPr>
          </w:p>
        </w:tc>
        <w:tc>
          <w:tcPr>
            <w:tcW w:w="1371" w:type="dxa"/>
            <w:vMerge w:val="restart"/>
          </w:tcPr>
          <w:p w:rsidR="004A0BE2" w:rsidRPr="007F6ED2" w:rsidRDefault="004A0BE2" w:rsidP="007E1A46">
            <w:r w:rsidRPr="007E1A46">
              <w:rPr>
                <w:color w:val="4F81BD" w:themeColor="accent1"/>
              </w:rPr>
              <w:t>January 2018</w:t>
            </w:r>
          </w:p>
        </w:tc>
        <w:tc>
          <w:tcPr>
            <w:tcW w:w="4002" w:type="dxa"/>
          </w:tcPr>
          <w:p w:rsidR="004A0BE2" w:rsidRPr="007F6ED2" w:rsidRDefault="004A0BE2" w:rsidP="007E1A46">
            <w:r>
              <w:t>New Database launched</w:t>
            </w:r>
          </w:p>
        </w:tc>
        <w:tc>
          <w:tcPr>
            <w:tcW w:w="3298" w:type="dxa"/>
          </w:tcPr>
          <w:p w:rsidR="004A0BE2" w:rsidRDefault="004A0BE2" w:rsidP="007E1A46">
            <w:r>
              <w:t xml:space="preserve">Delayed until IT security testing has been completed. </w:t>
            </w:r>
            <w:r w:rsidRPr="004A0BE2">
              <w:rPr>
                <w:color w:val="4F81BD" w:themeColor="accent1"/>
              </w:rPr>
              <w:t>Now completed and new system launched.</w:t>
            </w:r>
          </w:p>
        </w:tc>
      </w:tr>
      <w:tr w:rsidR="004A0BE2" w:rsidTr="00B716FE">
        <w:tc>
          <w:tcPr>
            <w:tcW w:w="571" w:type="dxa"/>
            <w:vMerge/>
          </w:tcPr>
          <w:p w:rsidR="004A0BE2" w:rsidRDefault="004A0BE2" w:rsidP="007E1A46">
            <w:pPr>
              <w:rPr>
                <w:b/>
                <w:bCs/>
                <w:color w:val="4F81BD" w:themeColor="accent1"/>
                <w:sz w:val="24"/>
                <w:szCs w:val="24"/>
              </w:rPr>
            </w:pPr>
          </w:p>
        </w:tc>
        <w:tc>
          <w:tcPr>
            <w:tcW w:w="1371" w:type="dxa"/>
            <w:vMerge/>
          </w:tcPr>
          <w:p w:rsidR="004A0BE2" w:rsidRDefault="004A0BE2" w:rsidP="007E1A46"/>
        </w:tc>
        <w:tc>
          <w:tcPr>
            <w:tcW w:w="4002" w:type="dxa"/>
          </w:tcPr>
          <w:p w:rsidR="004A0BE2" w:rsidRPr="007F6ED2" w:rsidRDefault="004A0BE2" w:rsidP="007E1A46">
            <w:r>
              <w:t>Work with database developer to ensure system is compliant and modify any areas necessary</w:t>
            </w:r>
          </w:p>
        </w:tc>
        <w:tc>
          <w:tcPr>
            <w:tcW w:w="3298" w:type="dxa"/>
          </w:tcPr>
          <w:p w:rsidR="004A0BE2" w:rsidRDefault="004A0BE2" w:rsidP="007E1A46">
            <w:r>
              <w:t xml:space="preserve">Work currently being undertaken on new system ready for launch. </w:t>
            </w:r>
            <w:r w:rsidRPr="004A0BE2">
              <w:rPr>
                <w:color w:val="4F81BD" w:themeColor="accent1"/>
              </w:rPr>
              <w:t>All current listed modifications have been completed.</w:t>
            </w:r>
          </w:p>
        </w:tc>
      </w:tr>
      <w:tr w:rsidR="004A0BE2" w:rsidTr="00B716FE">
        <w:tc>
          <w:tcPr>
            <w:tcW w:w="571" w:type="dxa"/>
            <w:vMerge/>
          </w:tcPr>
          <w:p w:rsidR="004A0BE2" w:rsidRDefault="004A0BE2" w:rsidP="007E1A46">
            <w:pPr>
              <w:rPr>
                <w:b/>
                <w:bCs/>
                <w:color w:val="4F81BD" w:themeColor="accent1"/>
                <w:sz w:val="24"/>
                <w:szCs w:val="24"/>
              </w:rPr>
            </w:pPr>
          </w:p>
        </w:tc>
        <w:tc>
          <w:tcPr>
            <w:tcW w:w="1371" w:type="dxa"/>
          </w:tcPr>
          <w:p w:rsidR="004A0BE2" w:rsidRPr="007F6ED2" w:rsidRDefault="004A0BE2" w:rsidP="007E1A46">
            <w:r w:rsidRPr="007E1A46">
              <w:rPr>
                <w:color w:val="4F81BD" w:themeColor="accent1"/>
              </w:rPr>
              <w:t>February / March 2018</w:t>
            </w:r>
          </w:p>
        </w:tc>
        <w:tc>
          <w:tcPr>
            <w:tcW w:w="4002" w:type="dxa"/>
          </w:tcPr>
          <w:p w:rsidR="004A0BE2" w:rsidRPr="007F6ED2" w:rsidRDefault="004A0BE2" w:rsidP="007E1A46">
            <w:r>
              <w:t xml:space="preserve">Complete Database Audit and Cleanse and compile actions for partners </w:t>
            </w:r>
          </w:p>
        </w:tc>
        <w:tc>
          <w:tcPr>
            <w:tcW w:w="3298" w:type="dxa"/>
          </w:tcPr>
          <w:p w:rsidR="004A0BE2" w:rsidRDefault="004A0BE2" w:rsidP="007E1A46">
            <w:r>
              <w:t>D</w:t>
            </w:r>
            <w:r w:rsidRPr="00AB5ABB">
              <w:t>elayed until the new system launches</w:t>
            </w:r>
          </w:p>
        </w:tc>
      </w:tr>
      <w:tr w:rsidR="004A0BE2" w:rsidTr="00B716FE">
        <w:tc>
          <w:tcPr>
            <w:tcW w:w="571" w:type="dxa"/>
            <w:vMerge/>
          </w:tcPr>
          <w:p w:rsidR="004A0BE2" w:rsidRDefault="004A0BE2" w:rsidP="007E1A46">
            <w:pPr>
              <w:rPr>
                <w:b/>
                <w:bCs/>
                <w:color w:val="4F81BD" w:themeColor="accent1"/>
                <w:sz w:val="24"/>
                <w:szCs w:val="24"/>
              </w:rPr>
            </w:pPr>
          </w:p>
        </w:tc>
        <w:tc>
          <w:tcPr>
            <w:tcW w:w="1371" w:type="dxa"/>
            <w:vMerge w:val="restart"/>
          </w:tcPr>
          <w:p w:rsidR="004A0BE2" w:rsidRPr="007F6ED2" w:rsidRDefault="004A0BE2" w:rsidP="007E1A46">
            <w:r w:rsidRPr="007E1A46">
              <w:rPr>
                <w:color w:val="4F81BD" w:themeColor="accent1"/>
              </w:rPr>
              <w:t>April 2018</w:t>
            </w:r>
          </w:p>
        </w:tc>
        <w:tc>
          <w:tcPr>
            <w:tcW w:w="4002" w:type="dxa"/>
          </w:tcPr>
          <w:p w:rsidR="004A0BE2" w:rsidRPr="007F6ED2" w:rsidRDefault="004A0BE2" w:rsidP="007E1A46">
            <w:r>
              <w:t>Aim to complete all areas to ensure future compliance</w:t>
            </w:r>
          </w:p>
        </w:tc>
        <w:tc>
          <w:tcPr>
            <w:tcW w:w="3298" w:type="dxa"/>
          </w:tcPr>
          <w:p w:rsidR="004A0BE2" w:rsidRPr="007F6ED2" w:rsidRDefault="004A0BE2" w:rsidP="007E1A46"/>
        </w:tc>
      </w:tr>
      <w:tr w:rsidR="004A0BE2" w:rsidTr="00B716FE">
        <w:tc>
          <w:tcPr>
            <w:tcW w:w="571" w:type="dxa"/>
            <w:vMerge/>
          </w:tcPr>
          <w:p w:rsidR="004A0BE2" w:rsidRDefault="004A0BE2" w:rsidP="007E1A46">
            <w:pPr>
              <w:rPr>
                <w:b/>
                <w:bCs/>
                <w:color w:val="4F81BD" w:themeColor="accent1"/>
                <w:sz w:val="24"/>
                <w:szCs w:val="24"/>
              </w:rPr>
            </w:pPr>
          </w:p>
        </w:tc>
        <w:tc>
          <w:tcPr>
            <w:tcW w:w="1371" w:type="dxa"/>
            <w:vMerge/>
          </w:tcPr>
          <w:p w:rsidR="004A0BE2" w:rsidRDefault="004A0BE2" w:rsidP="007E1A46"/>
        </w:tc>
        <w:tc>
          <w:tcPr>
            <w:tcW w:w="4002" w:type="dxa"/>
          </w:tcPr>
          <w:p w:rsidR="004A0BE2" w:rsidRDefault="004A0BE2" w:rsidP="007E1A46">
            <w:r>
              <w:t>Provide training to all users (via super users and webinars) so ensure individual are fully aware of their own responsibilities in respect of new rules</w:t>
            </w:r>
          </w:p>
        </w:tc>
        <w:tc>
          <w:tcPr>
            <w:tcW w:w="3298" w:type="dxa"/>
          </w:tcPr>
          <w:p w:rsidR="004A0BE2" w:rsidRPr="007F6ED2" w:rsidRDefault="004A0BE2" w:rsidP="007E1A46"/>
        </w:tc>
      </w:tr>
      <w:tr w:rsidR="004A0BE2" w:rsidTr="00B716FE">
        <w:tc>
          <w:tcPr>
            <w:tcW w:w="571" w:type="dxa"/>
            <w:vMerge/>
          </w:tcPr>
          <w:p w:rsidR="004A0BE2" w:rsidRDefault="004A0BE2" w:rsidP="007E1A46">
            <w:pPr>
              <w:rPr>
                <w:b/>
                <w:bCs/>
                <w:color w:val="4F81BD" w:themeColor="accent1"/>
                <w:sz w:val="24"/>
                <w:szCs w:val="24"/>
              </w:rPr>
            </w:pPr>
          </w:p>
        </w:tc>
        <w:tc>
          <w:tcPr>
            <w:tcW w:w="1371" w:type="dxa"/>
            <w:vMerge w:val="restart"/>
          </w:tcPr>
          <w:p w:rsidR="004A0BE2" w:rsidRPr="004A0BE2" w:rsidRDefault="004A0BE2" w:rsidP="007E1A46">
            <w:pPr>
              <w:rPr>
                <w:color w:val="4F81BD" w:themeColor="accent1"/>
              </w:rPr>
            </w:pPr>
            <w:r w:rsidRPr="004A0BE2">
              <w:rPr>
                <w:color w:val="4F81BD" w:themeColor="accent1"/>
              </w:rPr>
              <w:t>By May 2018</w:t>
            </w:r>
          </w:p>
        </w:tc>
        <w:tc>
          <w:tcPr>
            <w:tcW w:w="4002" w:type="dxa"/>
          </w:tcPr>
          <w:p w:rsidR="004A0BE2" w:rsidRPr="004A0BE2" w:rsidRDefault="004A0BE2" w:rsidP="007E1A46">
            <w:pPr>
              <w:rPr>
                <w:b/>
                <w:color w:val="4F81BD" w:themeColor="accent1"/>
              </w:rPr>
            </w:pPr>
            <w:r w:rsidRPr="004A0BE2">
              <w:rPr>
                <w:color w:val="4F81BD" w:themeColor="accent1"/>
              </w:rPr>
              <w:t>L</w:t>
            </w:r>
            <w:r w:rsidRPr="004A0BE2">
              <w:rPr>
                <w:color w:val="4F81BD" w:themeColor="accent1"/>
              </w:rPr>
              <w:t xml:space="preserve">aunch with </w:t>
            </w:r>
            <w:r w:rsidRPr="004A0BE2">
              <w:rPr>
                <w:color w:val="4F81BD" w:themeColor="accent1"/>
              </w:rPr>
              <w:t>new</w:t>
            </w:r>
            <w:r w:rsidRPr="004A0BE2">
              <w:rPr>
                <w:color w:val="4F81BD" w:themeColor="accent1"/>
              </w:rPr>
              <w:t xml:space="preserve"> consent forms</w:t>
            </w:r>
          </w:p>
        </w:tc>
        <w:tc>
          <w:tcPr>
            <w:tcW w:w="3298" w:type="dxa"/>
          </w:tcPr>
          <w:p w:rsidR="004A0BE2" w:rsidRPr="004A0BE2" w:rsidRDefault="004A0BE2" w:rsidP="007E1A46">
            <w:pPr>
              <w:rPr>
                <w:color w:val="4F81BD" w:themeColor="accent1"/>
              </w:rPr>
            </w:pPr>
            <w:r w:rsidRPr="004A0BE2">
              <w:rPr>
                <w:color w:val="4F81BD" w:themeColor="accent1"/>
              </w:rPr>
              <w:t>Awaiting d</w:t>
            </w:r>
            <w:r w:rsidRPr="004A0BE2">
              <w:rPr>
                <w:color w:val="4F81BD" w:themeColor="accent1"/>
              </w:rPr>
              <w:t xml:space="preserve">ecision from </w:t>
            </w:r>
            <w:proofErr w:type="spellStart"/>
            <w:r w:rsidRPr="004A0BE2">
              <w:rPr>
                <w:color w:val="4F81BD" w:themeColor="accent1"/>
              </w:rPr>
              <w:t>ICO</w:t>
            </w:r>
            <w:proofErr w:type="spellEnd"/>
            <w:r w:rsidRPr="004A0BE2">
              <w:rPr>
                <w:color w:val="4F81BD" w:themeColor="accent1"/>
              </w:rPr>
              <w:t xml:space="preserve"> on appropriate legal basis for data collection forms</w:t>
            </w:r>
            <w:r w:rsidRPr="004A0BE2">
              <w:rPr>
                <w:color w:val="4F81BD" w:themeColor="accent1"/>
              </w:rPr>
              <w:t>.</w:t>
            </w:r>
          </w:p>
        </w:tc>
      </w:tr>
      <w:tr w:rsidR="004A0BE2" w:rsidTr="00B716FE">
        <w:tc>
          <w:tcPr>
            <w:tcW w:w="571" w:type="dxa"/>
            <w:vMerge/>
          </w:tcPr>
          <w:p w:rsidR="004A0BE2" w:rsidRDefault="004A0BE2" w:rsidP="004A0BE2">
            <w:pPr>
              <w:rPr>
                <w:b/>
                <w:bCs/>
                <w:color w:val="4F81BD" w:themeColor="accent1"/>
                <w:sz w:val="24"/>
                <w:szCs w:val="24"/>
              </w:rPr>
            </w:pPr>
          </w:p>
        </w:tc>
        <w:tc>
          <w:tcPr>
            <w:tcW w:w="1371" w:type="dxa"/>
            <w:vMerge/>
          </w:tcPr>
          <w:p w:rsidR="004A0BE2" w:rsidRPr="007F6ED2" w:rsidRDefault="004A0BE2" w:rsidP="004A0BE2"/>
        </w:tc>
        <w:tc>
          <w:tcPr>
            <w:tcW w:w="4002" w:type="dxa"/>
          </w:tcPr>
          <w:p w:rsidR="004A0BE2" w:rsidRPr="004A0BE2" w:rsidRDefault="004A0BE2" w:rsidP="004A0BE2">
            <w:pPr>
              <w:rPr>
                <w:color w:val="4F81BD" w:themeColor="accent1"/>
              </w:rPr>
            </w:pPr>
            <w:r w:rsidRPr="004A0BE2">
              <w:rPr>
                <w:color w:val="4F81BD" w:themeColor="accent1"/>
              </w:rPr>
              <w:t xml:space="preserve">New Data Compliance Agreement and Policies first draft to be sent to host University </w:t>
            </w:r>
            <w:proofErr w:type="spellStart"/>
            <w:r w:rsidRPr="004A0BE2">
              <w:rPr>
                <w:color w:val="4F81BD" w:themeColor="accent1"/>
              </w:rPr>
              <w:t>DPO</w:t>
            </w:r>
            <w:proofErr w:type="spellEnd"/>
            <w:r w:rsidRPr="004A0BE2">
              <w:rPr>
                <w:color w:val="4F81BD" w:themeColor="accent1"/>
              </w:rPr>
              <w:t xml:space="preserve"> for approval</w:t>
            </w:r>
          </w:p>
        </w:tc>
        <w:tc>
          <w:tcPr>
            <w:tcW w:w="3298" w:type="dxa"/>
          </w:tcPr>
          <w:p w:rsidR="004A0BE2" w:rsidRPr="004A0BE2" w:rsidRDefault="004A0BE2" w:rsidP="004A0BE2">
            <w:pPr>
              <w:rPr>
                <w:color w:val="4F81BD" w:themeColor="accent1"/>
              </w:rPr>
            </w:pPr>
            <w:r w:rsidRPr="004A0BE2">
              <w:rPr>
                <w:color w:val="4F81BD" w:themeColor="accent1"/>
              </w:rPr>
              <w:t xml:space="preserve">Initial polices (Data Retention and Deletion Policy, </w:t>
            </w:r>
            <w:proofErr w:type="gramStart"/>
            <w:r w:rsidRPr="004A0BE2">
              <w:rPr>
                <w:color w:val="4F81BD" w:themeColor="accent1"/>
              </w:rPr>
              <w:t>How</w:t>
            </w:r>
            <w:proofErr w:type="gramEnd"/>
            <w:r w:rsidRPr="004A0BE2">
              <w:rPr>
                <w:color w:val="4F81BD" w:themeColor="accent1"/>
              </w:rPr>
              <w:t xml:space="preserve"> we use your data Policy, and Data Sharing Policy) sent to </w:t>
            </w:r>
            <w:proofErr w:type="spellStart"/>
            <w:r w:rsidRPr="004A0BE2">
              <w:rPr>
                <w:color w:val="4F81BD" w:themeColor="accent1"/>
              </w:rPr>
              <w:t>DPO</w:t>
            </w:r>
            <w:proofErr w:type="spellEnd"/>
            <w:r w:rsidRPr="004A0BE2">
              <w:rPr>
                <w:color w:val="4F81BD" w:themeColor="accent1"/>
              </w:rPr>
              <w:t xml:space="preserve"> for approval in early October.</w:t>
            </w:r>
          </w:p>
          <w:p w:rsidR="004A0BE2" w:rsidRPr="004A0BE2" w:rsidRDefault="004A0BE2" w:rsidP="004A0BE2">
            <w:pPr>
              <w:rPr>
                <w:color w:val="4F81BD" w:themeColor="accent1"/>
              </w:rPr>
            </w:pPr>
            <w:r w:rsidRPr="004A0BE2">
              <w:rPr>
                <w:color w:val="4F81BD" w:themeColor="accent1"/>
              </w:rPr>
              <w:t xml:space="preserve">Remainder of policies (Data Compliance Agreement, Privacy Notice and Audit Policy) to be sent to </w:t>
            </w:r>
            <w:proofErr w:type="spellStart"/>
            <w:r w:rsidRPr="004A0BE2">
              <w:rPr>
                <w:color w:val="4F81BD" w:themeColor="accent1"/>
              </w:rPr>
              <w:t>DPO</w:t>
            </w:r>
            <w:proofErr w:type="spellEnd"/>
            <w:r w:rsidRPr="004A0BE2">
              <w:rPr>
                <w:color w:val="4F81BD" w:themeColor="accent1"/>
              </w:rPr>
              <w:t xml:space="preserve"> for approval by end of November.</w:t>
            </w:r>
          </w:p>
        </w:tc>
      </w:tr>
      <w:tr w:rsidR="004A0BE2" w:rsidTr="00B716FE">
        <w:tc>
          <w:tcPr>
            <w:tcW w:w="571" w:type="dxa"/>
            <w:vMerge/>
          </w:tcPr>
          <w:p w:rsidR="004A0BE2" w:rsidRDefault="004A0BE2" w:rsidP="004A0BE2">
            <w:pPr>
              <w:rPr>
                <w:b/>
                <w:bCs/>
                <w:color w:val="4F81BD" w:themeColor="accent1"/>
                <w:sz w:val="24"/>
                <w:szCs w:val="24"/>
              </w:rPr>
            </w:pPr>
          </w:p>
        </w:tc>
        <w:tc>
          <w:tcPr>
            <w:tcW w:w="1371" w:type="dxa"/>
            <w:vMerge/>
          </w:tcPr>
          <w:p w:rsidR="004A0BE2" w:rsidRPr="007F6ED2" w:rsidRDefault="004A0BE2" w:rsidP="004A0BE2"/>
        </w:tc>
        <w:tc>
          <w:tcPr>
            <w:tcW w:w="4002" w:type="dxa"/>
          </w:tcPr>
          <w:p w:rsidR="004A0BE2" w:rsidRPr="004A0BE2" w:rsidRDefault="004A0BE2" w:rsidP="004A0BE2">
            <w:pPr>
              <w:rPr>
                <w:color w:val="4F81BD" w:themeColor="accent1"/>
              </w:rPr>
            </w:pPr>
            <w:r w:rsidRPr="004A0BE2">
              <w:rPr>
                <w:color w:val="4F81BD" w:themeColor="accent1"/>
              </w:rPr>
              <w:t>Draft Data Compliance Agreement and Policies issued to all partners for comment</w:t>
            </w:r>
          </w:p>
        </w:tc>
        <w:tc>
          <w:tcPr>
            <w:tcW w:w="3298" w:type="dxa"/>
          </w:tcPr>
          <w:p w:rsidR="004A0BE2" w:rsidRPr="004A0BE2" w:rsidRDefault="004A0BE2" w:rsidP="004A0BE2">
            <w:pPr>
              <w:rPr>
                <w:color w:val="4F81BD" w:themeColor="accent1"/>
              </w:rPr>
            </w:pPr>
            <w:r w:rsidRPr="004A0BE2">
              <w:rPr>
                <w:color w:val="4F81BD" w:themeColor="accent1"/>
              </w:rPr>
              <w:t>Still under preparation</w:t>
            </w:r>
          </w:p>
        </w:tc>
      </w:tr>
      <w:tr w:rsidR="004A0BE2" w:rsidTr="00B716FE">
        <w:tc>
          <w:tcPr>
            <w:tcW w:w="571" w:type="dxa"/>
            <w:vMerge/>
          </w:tcPr>
          <w:p w:rsidR="004A0BE2" w:rsidRDefault="004A0BE2" w:rsidP="004A0BE2">
            <w:pPr>
              <w:rPr>
                <w:b/>
                <w:bCs/>
                <w:color w:val="4F81BD" w:themeColor="accent1"/>
                <w:sz w:val="24"/>
                <w:szCs w:val="24"/>
              </w:rPr>
            </w:pPr>
          </w:p>
        </w:tc>
        <w:tc>
          <w:tcPr>
            <w:tcW w:w="1371" w:type="dxa"/>
          </w:tcPr>
          <w:p w:rsidR="004A0BE2" w:rsidRPr="007F6ED2" w:rsidRDefault="004A0BE2" w:rsidP="004A0BE2">
            <w:r w:rsidRPr="004A0BE2">
              <w:rPr>
                <w:color w:val="4F81BD" w:themeColor="accent1"/>
              </w:rPr>
              <w:t>Ongoing</w:t>
            </w:r>
          </w:p>
        </w:tc>
        <w:tc>
          <w:tcPr>
            <w:tcW w:w="4002" w:type="dxa"/>
          </w:tcPr>
          <w:p w:rsidR="004A0BE2" w:rsidRPr="007F6ED2" w:rsidRDefault="004A0BE2" w:rsidP="004A0BE2">
            <w:r>
              <w:t>Monitor any changes in guidance and action appropriately</w:t>
            </w:r>
          </w:p>
        </w:tc>
        <w:tc>
          <w:tcPr>
            <w:tcW w:w="3298" w:type="dxa"/>
          </w:tcPr>
          <w:p w:rsidR="004A0BE2" w:rsidRPr="007F6ED2" w:rsidRDefault="004A0BE2" w:rsidP="004A0BE2"/>
        </w:tc>
      </w:tr>
      <w:tr w:rsidR="004A0BE2" w:rsidTr="00B716FE">
        <w:tc>
          <w:tcPr>
            <w:tcW w:w="571" w:type="dxa"/>
            <w:vMerge/>
          </w:tcPr>
          <w:p w:rsidR="004A0BE2" w:rsidRDefault="004A0BE2" w:rsidP="004A0BE2">
            <w:pPr>
              <w:rPr>
                <w:b/>
                <w:bCs/>
                <w:color w:val="4F81BD" w:themeColor="accent1"/>
                <w:sz w:val="24"/>
                <w:szCs w:val="24"/>
              </w:rPr>
            </w:pPr>
          </w:p>
        </w:tc>
        <w:tc>
          <w:tcPr>
            <w:tcW w:w="1371" w:type="dxa"/>
          </w:tcPr>
          <w:p w:rsidR="004A0BE2" w:rsidRPr="007F6ED2" w:rsidRDefault="004A0BE2" w:rsidP="004A0BE2">
            <w:r w:rsidRPr="007F6ED2">
              <w:t>May 2018</w:t>
            </w:r>
            <w:r>
              <w:t xml:space="preserve"> onwards</w:t>
            </w:r>
          </w:p>
        </w:tc>
        <w:tc>
          <w:tcPr>
            <w:tcW w:w="4002" w:type="dxa"/>
          </w:tcPr>
          <w:p w:rsidR="004A0BE2" w:rsidRPr="007F6ED2" w:rsidRDefault="004A0BE2" w:rsidP="004A0BE2">
            <w:r w:rsidRPr="007F6ED2">
              <w:t>GDPR comes into effect</w:t>
            </w:r>
            <w:r>
              <w:t>. EMWPREP to continue to monitor GDPR changes and impacts across the sector</w:t>
            </w:r>
          </w:p>
        </w:tc>
        <w:tc>
          <w:tcPr>
            <w:tcW w:w="3298" w:type="dxa"/>
          </w:tcPr>
          <w:p w:rsidR="004A0BE2" w:rsidRPr="007F6ED2" w:rsidRDefault="004A0BE2" w:rsidP="004A0BE2"/>
        </w:tc>
      </w:tr>
    </w:tbl>
    <w:p w:rsidR="007F6ED2" w:rsidRPr="001D7E25" w:rsidRDefault="007F6ED2" w:rsidP="006F1CEF">
      <w:pPr>
        <w:rPr>
          <w:b/>
          <w:bCs/>
          <w:color w:val="4F81BD" w:themeColor="accent1"/>
          <w:sz w:val="24"/>
          <w:szCs w:val="24"/>
        </w:rPr>
      </w:pPr>
    </w:p>
    <w:sectPr w:rsidR="007F6ED2" w:rsidRPr="001D7E25" w:rsidSect="00F341B6">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A46" w:rsidRDefault="007E1A46" w:rsidP="00600ED0">
      <w:pPr>
        <w:spacing w:after="0" w:line="240" w:lineRule="auto"/>
      </w:pPr>
      <w:r>
        <w:separator/>
      </w:r>
    </w:p>
  </w:endnote>
  <w:endnote w:type="continuationSeparator" w:id="0">
    <w:p w:rsidR="007E1A46" w:rsidRDefault="007E1A46" w:rsidP="0060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F81BD" w:themeColor="accent1"/>
      </w:rPr>
      <w:id w:val="1749537033"/>
      <w:docPartObj>
        <w:docPartGallery w:val="Page Numbers (Bottom of Page)"/>
        <w:docPartUnique/>
      </w:docPartObj>
    </w:sdtPr>
    <w:sdtEndPr>
      <w:rPr>
        <w:sz w:val="16"/>
      </w:rPr>
    </w:sdtEndPr>
    <w:sdtContent>
      <w:p w:rsidR="007E1A46" w:rsidRPr="0049679E" w:rsidRDefault="007E1A46">
        <w:pPr>
          <w:pStyle w:val="Footer"/>
          <w:jc w:val="right"/>
          <w:rPr>
            <w:color w:val="4F81BD" w:themeColor="accent1"/>
            <w:sz w:val="16"/>
          </w:rPr>
        </w:pPr>
        <w:r w:rsidRPr="0049679E">
          <w:rPr>
            <w:color w:val="4F81BD" w:themeColor="accent1"/>
            <w:sz w:val="16"/>
          </w:rPr>
          <w:t xml:space="preserve">Page | </w:t>
        </w:r>
        <w:r w:rsidRPr="0049679E">
          <w:rPr>
            <w:color w:val="4F81BD" w:themeColor="accent1"/>
            <w:sz w:val="16"/>
          </w:rPr>
          <w:fldChar w:fldCharType="begin"/>
        </w:r>
        <w:r w:rsidRPr="0049679E">
          <w:rPr>
            <w:color w:val="4F81BD" w:themeColor="accent1"/>
            <w:sz w:val="16"/>
          </w:rPr>
          <w:instrText xml:space="preserve"> PAGE   \* MERGEFORMAT </w:instrText>
        </w:r>
        <w:r w:rsidRPr="0049679E">
          <w:rPr>
            <w:color w:val="4F81BD" w:themeColor="accent1"/>
            <w:sz w:val="16"/>
          </w:rPr>
          <w:fldChar w:fldCharType="separate"/>
        </w:r>
        <w:r w:rsidR="004A0BE2">
          <w:rPr>
            <w:noProof/>
            <w:color w:val="4F81BD" w:themeColor="accent1"/>
            <w:sz w:val="16"/>
          </w:rPr>
          <w:t>6</w:t>
        </w:r>
        <w:r w:rsidRPr="0049679E">
          <w:rPr>
            <w:noProof/>
            <w:color w:val="4F81BD" w:themeColor="accent1"/>
            <w:sz w:val="16"/>
          </w:rPr>
          <w:fldChar w:fldCharType="end"/>
        </w:r>
        <w:r w:rsidRPr="0049679E">
          <w:rPr>
            <w:color w:val="4F81BD" w:themeColor="accent1"/>
            <w:sz w:val="16"/>
          </w:rPr>
          <w:t xml:space="preserve"> </w:t>
        </w:r>
      </w:p>
    </w:sdtContent>
  </w:sdt>
  <w:p w:rsidR="007E1A46" w:rsidRDefault="007E1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A46" w:rsidRDefault="007E1A46" w:rsidP="00600ED0">
      <w:pPr>
        <w:spacing w:after="0" w:line="240" w:lineRule="auto"/>
      </w:pPr>
      <w:r>
        <w:separator/>
      </w:r>
    </w:p>
  </w:footnote>
  <w:footnote w:type="continuationSeparator" w:id="0">
    <w:p w:rsidR="007E1A46" w:rsidRDefault="007E1A46" w:rsidP="00600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FE9"/>
    <w:multiLevelType w:val="hybridMultilevel"/>
    <w:tmpl w:val="2CAA00A4"/>
    <w:lvl w:ilvl="0" w:tplc="CCF800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26E46"/>
    <w:multiLevelType w:val="hybridMultilevel"/>
    <w:tmpl w:val="9180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B456A"/>
    <w:multiLevelType w:val="hybridMultilevel"/>
    <w:tmpl w:val="76E6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8428E"/>
    <w:multiLevelType w:val="hybridMultilevel"/>
    <w:tmpl w:val="F7D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85404"/>
    <w:multiLevelType w:val="hybridMultilevel"/>
    <w:tmpl w:val="BFC8E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70342"/>
    <w:multiLevelType w:val="hybridMultilevel"/>
    <w:tmpl w:val="70C6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27CC9"/>
    <w:multiLevelType w:val="hybridMultilevel"/>
    <w:tmpl w:val="01742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2E4796"/>
    <w:multiLevelType w:val="hybridMultilevel"/>
    <w:tmpl w:val="1F9857FC"/>
    <w:lvl w:ilvl="0" w:tplc="28B29D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A7115"/>
    <w:multiLevelType w:val="hybridMultilevel"/>
    <w:tmpl w:val="BD1EC29C"/>
    <w:lvl w:ilvl="0" w:tplc="40E854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77743"/>
    <w:multiLevelType w:val="hybridMultilevel"/>
    <w:tmpl w:val="8E2C92D8"/>
    <w:lvl w:ilvl="0" w:tplc="15AE07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FF28D2"/>
    <w:multiLevelType w:val="hybridMultilevel"/>
    <w:tmpl w:val="73CC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21D5C"/>
    <w:multiLevelType w:val="hybridMultilevel"/>
    <w:tmpl w:val="7A929526"/>
    <w:lvl w:ilvl="0" w:tplc="15ACE4B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66711"/>
    <w:multiLevelType w:val="hybridMultilevel"/>
    <w:tmpl w:val="82E62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40FAC"/>
    <w:multiLevelType w:val="hybridMultilevel"/>
    <w:tmpl w:val="64DCE5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5"/>
  </w:num>
  <w:num w:numId="4">
    <w:abstractNumId w:val="6"/>
  </w:num>
  <w:num w:numId="5">
    <w:abstractNumId w:val="1"/>
  </w:num>
  <w:num w:numId="6">
    <w:abstractNumId w:val="11"/>
  </w:num>
  <w:num w:numId="7">
    <w:abstractNumId w:val="8"/>
  </w:num>
  <w:num w:numId="8">
    <w:abstractNumId w:val="9"/>
  </w:num>
  <w:num w:numId="9">
    <w:abstractNumId w:val="10"/>
  </w:num>
  <w:num w:numId="10">
    <w:abstractNumId w:val="4"/>
  </w:num>
  <w:num w:numId="11">
    <w:abstractNumId w:val="3"/>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E25"/>
    <w:rsid w:val="00076F1B"/>
    <w:rsid w:val="000F1E7C"/>
    <w:rsid w:val="00116CF0"/>
    <w:rsid w:val="001768F1"/>
    <w:rsid w:val="001D7E25"/>
    <w:rsid w:val="00202BB3"/>
    <w:rsid w:val="00223C7F"/>
    <w:rsid w:val="002B4391"/>
    <w:rsid w:val="002F364C"/>
    <w:rsid w:val="0031443C"/>
    <w:rsid w:val="003418BC"/>
    <w:rsid w:val="003A4D73"/>
    <w:rsid w:val="003A6264"/>
    <w:rsid w:val="00454213"/>
    <w:rsid w:val="00480CF0"/>
    <w:rsid w:val="0049679E"/>
    <w:rsid w:val="004A0BE2"/>
    <w:rsid w:val="00600ED0"/>
    <w:rsid w:val="00603ABB"/>
    <w:rsid w:val="00640C8C"/>
    <w:rsid w:val="006907D2"/>
    <w:rsid w:val="006F1CEF"/>
    <w:rsid w:val="00725781"/>
    <w:rsid w:val="00765C04"/>
    <w:rsid w:val="007E1A46"/>
    <w:rsid w:val="007E1E6A"/>
    <w:rsid w:val="007F6ED2"/>
    <w:rsid w:val="008B5E4E"/>
    <w:rsid w:val="008D1DBA"/>
    <w:rsid w:val="008D1EB2"/>
    <w:rsid w:val="009E24EB"/>
    <w:rsid w:val="00A108C1"/>
    <w:rsid w:val="00A63BD1"/>
    <w:rsid w:val="00AB5ABB"/>
    <w:rsid w:val="00AE306A"/>
    <w:rsid w:val="00AF25C1"/>
    <w:rsid w:val="00B55E6F"/>
    <w:rsid w:val="00B716FE"/>
    <w:rsid w:val="00B8507D"/>
    <w:rsid w:val="00C44ED4"/>
    <w:rsid w:val="00CA47FD"/>
    <w:rsid w:val="00D2181E"/>
    <w:rsid w:val="00D242FD"/>
    <w:rsid w:val="00DB4EDA"/>
    <w:rsid w:val="00DC04F1"/>
    <w:rsid w:val="00EE3391"/>
    <w:rsid w:val="00F0450A"/>
    <w:rsid w:val="00F16E26"/>
    <w:rsid w:val="00F20647"/>
    <w:rsid w:val="00F341B6"/>
    <w:rsid w:val="00FF0D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2D058F"/>
  <w15:docId w15:val="{A0482794-3540-4E2B-BC4D-CB88C9AF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E25"/>
    <w:pPr>
      <w:spacing w:after="160" w:line="259" w:lineRule="auto"/>
    </w:pPr>
    <w:rPr>
      <w:rFonts w:eastAsiaTheme="minorHAnsi"/>
      <w:lang w:eastAsia="en-US"/>
    </w:rPr>
  </w:style>
  <w:style w:type="paragraph" w:styleId="Heading1">
    <w:name w:val="heading 1"/>
    <w:basedOn w:val="Normal"/>
    <w:next w:val="Normal"/>
    <w:link w:val="Heading1Char"/>
    <w:uiPriority w:val="9"/>
    <w:qFormat/>
    <w:rsid w:val="001D7E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7E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E25"/>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1D7E25"/>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1D7E25"/>
    <w:pPr>
      <w:ind w:left="720"/>
      <w:contextualSpacing/>
    </w:pPr>
  </w:style>
  <w:style w:type="character" w:styleId="CommentReference">
    <w:name w:val="annotation reference"/>
    <w:basedOn w:val="DefaultParagraphFont"/>
    <w:uiPriority w:val="99"/>
    <w:semiHidden/>
    <w:unhideWhenUsed/>
    <w:rsid w:val="001D7E25"/>
    <w:rPr>
      <w:sz w:val="16"/>
      <w:szCs w:val="16"/>
    </w:rPr>
  </w:style>
  <w:style w:type="paragraph" w:styleId="BalloonText">
    <w:name w:val="Balloon Text"/>
    <w:basedOn w:val="Normal"/>
    <w:link w:val="BalloonTextChar"/>
    <w:uiPriority w:val="99"/>
    <w:semiHidden/>
    <w:unhideWhenUsed/>
    <w:rsid w:val="001D7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E25"/>
    <w:rPr>
      <w:rFonts w:ascii="Tahoma" w:eastAsiaTheme="minorHAnsi" w:hAnsi="Tahoma" w:cs="Tahoma"/>
      <w:sz w:val="16"/>
      <w:szCs w:val="16"/>
      <w:lang w:eastAsia="en-US"/>
    </w:rPr>
  </w:style>
  <w:style w:type="paragraph" w:styleId="NoSpacing">
    <w:name w:val="No Spacing"/>
    <w:uiPriority w:val="1"/>
    <w:qFormat/>
    <w:rsid w:val="000F1E7C"/>
    <w:pPr>
      <w:spacing w:after="0" w:line="240" w:lineRule="auto"/>
    </w:pPr>
    <w:rPr>
      <w:rFonts w:eastAsiaTheme="minorHAnsi"/>
      <w:lang w:eastAsia="en-US"/>
    </w:rPr>
  </w:style>
  <w:style w:type="paragraph" w:styleId="Header">
    <w:name w:val="header"/>
    <w:basedOn w:val="Normal"/>
    <w:link w:val="HeaderChar"/>
    <w:uiPriority w:val="99"/>
    <w:unhideWhenUsed/>
    <w:rsid w:val="00600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ED0"/>
    <w:rPr>
      <w:rFonts w:eastAsiaTheme="minorHAnsi"/>
      <w:lang w:eastAsia="en-US"/>
    </w:rPr>
  </w:style>
  <w:style w:type="paragraph" w:styleId="Footer">
    <w:name w:val="footer"/>
    <w:basedOn w:val="Normal"/>
    <w:link w:val="FooterChar"/>
    <w:uiPriority w:val="99"/>
    <w:unhideWhenUsed/>
    <w:rsid w:val="00600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ED0"/>
    <w:rPr>
      <w:rFonts w:eastAsiaTheme="minorHAnsi"/>
      <w:lang w:eastAsia="en-US"/>
    </w:rPr>
  </w:style>
  <w:style w:type="table" w:styleId="TableGrid">
    <w:name w:val="Table Grid"/>
    <w:basedOn w:val="TableNormal"/>
    <w:uiPriority w:val="59"/>
    <w:rsid w:val="007F6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6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7E89F-1730-44AE-A43B-271CCDF7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Emma Church</cp:lastModifiedBy>
  <cp:revision>3</cp:revision>
  <dcterms:created xsi:type="dcterms:W3CDTF">2018-01-18T15:23:00Z</dcterms:created>
  <dcterms:modified xsi:type="dcterms:W3CDTF">2018-01-22T10:22:00Z</dcterms:modified>
</cp:coreProperties>
</file>